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0D" w:rsidRPr="00F96F2B" w:rsidRDefault="0016530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The aerobic fitness assessment test that would be carried out on the tennis player was squat. This assessment led to the development of valgus in the knee of the tennis player.</w:t>
      </w:r>
    </w:p>
    <w:p w:rsidR="006C20A8" w:rsidRPr="008E3FF3" w:rsidRDefault="006C20A8" w:rsidP="00F96F2B">
      <w:pPr>
        <w:spacing w:line="480" w:lineRule="auto"/>
        <w:jc w:val="both"/>
        <w:rPr>
          <w:rFonts w:ascii="Times New Roman" w:hAnsi="Times New Roman" w:cs="Times New Roman"/>
          <w:b/>
          <w:sz w:val="24"/>
          <w:szCs w:val="24"/>
        </w:rPr>
      </w:pPr>
      <w:r w:rsidRPr="008E3FF3">
        <w:rPr>
          <w:rFonts w:ascii="Times New Roman" w:hAnsi="Times New Roman" w:cs="Times New Roman"/>
          <w:b/>
          <w:sz w:val="24"/>
          <w:szCs w:val="24"/>
        </w:rPr>
        <w:t>Overhead squat assessment</w:t>
      </w:r>
    </w:p>
    <w:tbl>
      <w:tblPr>
        <w:tblStyle w:val="TableGrid"/>
        <w:tblW w:w="0" w:type="auto"/>
        <w:tblLook w:val="04A0" w:firstRow="1" w:lastRow="0" w:firstColumn="1" w:lastColumn="0" w:noHBand="0" w:noVBand="1"/>
      </w:tblPr>
      <w:tblGrid>
        <w:gridCol w:w="1915"/>
        <w:gridCol w:w="1915"/>
        <w:gridCol w:w="1915"/>
        <w:gridCol w:w="1915"/>
        <w:gridCol w:w="1916"/>
      </w:tblGrid>
      <w:tr w:rsidR="0067014B" w:rsidRPr="00F96F2B" w:rsidTr="0067014B">
        <w:tc>
          <w:tcPr>
            <w:tcW w:w="1915" w:type="dxa"/>
          </w:tcPr>
          <w:p w:rsidR="0067014B" w:rsidRPr="00F96F2B" w:rsidRDefault="0067014B"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Joint </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Compensation </w:t>
            </w:r>
            <w:r w:rsidR="0067014B" w:rsidRPr="00F96F2B">
              <w:rPr>
                <w:rFonts w:ascii="Times New Roman" w:hAnsi="Times New Roman" w:cs="Times New Roman"/>
                <w:sz w:val="24"/>
                <w:szCs w:val="24"/>
              </w:rPr>
              <w:t xml:space="preserve"> </w:t>
            </w:r>
          </w:p>
        </w:tc>
        <w:tc>
          <w:tcPr>
            <w:tcW w:w="1915" w:type="dxa"/>
          </w:tcPr>
          <w:p w:rsidR="0067014B" w:rsidRPr="00F96F2B" w:rsidRDefault="0067014B"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Left </w:t>
            </w:r>
          </w:p>
        </w:tc>
        <w:tc>
          <w:tcPr>
            <w:tcW w:w="1915" w:type="dxa"/>
          </w:tcPr>
          <w:p w:rsidR="0067014B" w:rsidRPr="00F96F2B" w:rsidRDefault="0067014B"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Right </w:t>
            </w:r>
          </w:p>
        </w:tc>
        <w:tc>
          <w:tcPr>
            <w:tcW w:w="1916"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Notes </w:t>
            </w:r>
          </w:p>
        </w:tc>
      </w:tr>
      <w:tr w:rsidR="0067014B" w:rsidRPr="00F96F2B" w:rsidTr="0067014B">
        <w:tc>
          <w:tcPr>
            <w:tcW w:w="1915" w:type="dxa"/>
          </w:tcPr>
          <w:p w:rsidR="0067014B" w:rsidRPr="00F96F2B" w:rsidRDefault="0067014B"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Foot/ankle</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External rotation </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Yes</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yes</w:t>
            </w:r>
          </w:p>
        </w:tc>
        <w:tc>
          <w:tcPr>
            <w:tcW w:w="1916"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The femur internally rotates. </w:t>
            </w:r>
          </w:p>
        </w:tc>
      </w:tr>
      <w:tr w:rsidR="0067014B" w:rsidRPr="00F96F2B" w:rsidTr="0067014B">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Feet flatten </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Yes </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yes</w:t>
            </w:r>
          </w:p>
        </w:tc>
        <w:tc>
          <w:tcPr>
            <w:tcW w:w="1916" w:type="dxa"/>
          </w:tcPr>
          <w:p w:rsidR="0067014B" w:rsidRPr="00F96F2B" w:rsidRDefault="0067014B" w:rsidP="00F96F2B">
            <w:pPr>
              <w:spacing w:line="480" w:lineRule="auto"/>
              <w:jc w:val="both"/>
              <w:rPr>
                <w:rFonts w:ascii="Times New Roman" w:hAnsi="Times New Roman" w:cs="Times New Roman"/>
                <w:sz w:val="24"/>
                <w:szCs w:val="24"/>
              </w:rPr>
            </w:pPr>
          </w:p>
        </w:tc>
      </w:tr>
      <w:tr w:rsidR="0067014B" w:rsidRPr="00F96F2B" w:rsidTr="0067014B">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Heel raise </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Yes </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Yes </w:t>
            </w:r>
          </w:p>
        </w:tc>
        <w:tc>
          <w:tcPr>
            <w:tcW w:w="1916" w:type="dxa"/>
          </w:tcPr>
          <w:p w:rsidR="0067014B" w:rsidRPr="00F96F2B" w:rsidRDefault="0067014B" w:rsidP="00F96F2B">
            <w:pPr>
              <w:spacing w:line="480" w:lineRule="auto"/>
              <w:jc w:val="both"/>
              <w:rPr>
                <w:rFonts w:ascii="Times New Roman" w:hAnsi="Times New Roman" w:cs="Times New Roman"/>
                <w:sz w:val="24"/>
                <w:szCs w:val="24"/>
              </w:rPr>
            </w:pPr>
          </w:p>
        </w:tc>
      </w:tr>
      <w:tr w:rsidR="0067014B" w:rsidRPr="00F96F2B" w:rsidTr="0067014B">
        <w:tc>
          <w:tcPr>
            <w:tcW w:w="1915" w:type="dxa"/>
          </w:tcPr>
          <w:p w:rsidR="0067014B" w:rsidRPr="00F96F2B" w:rsidRDefault="00CA6127"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knee</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Valgus </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No</w:t>
            </w:r>
          </w:p>
        </w:tc>
        <w:tc>
          <w:tcPr>
            <w:tcW w:w="1915" w:type="dxa"/>
          </w:tcPr>
          <w:p w:rsidR="0067014B" w:rsidRPr="00F96F2B" w:rsidRDefault="00A237F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Yes </w:t>
            </w:r>
          </w:p>
        </w:tc>
        <w:tc>
          <w:tcPr>
            <w:tcW w:w="1916" w:type="dxa"/>
          </w:tcPr>
          <w:p w:rsidR="008B207B" w:rsidRPr="00F96F2B" w:rsidRDefault="008B207B" w:rsidP="00F96F2B">
            <w:pPr>
              <w:spacing w:line="480" w:lineRule="auto"/>
              <w:jc w:val="both"/>
              <w:rPr>
                <w:rFonts w:ascii="Times New Roman" w:hAnsi="Times New Roman" w:cs="Times New Roman"/>
                <w:color w:val="373D3F"/>
                <w:sz w:val="24"/>
                <w:szCs w:val="24"/>
                <w:shd w:val="clear" w:color="auto" w:fill="F8F8F8"/>
              </w:rPr>
            </w:pPr>
            <w:r w:rsidRPr="00F96F2B">
              <w:rPr>
                <w:rFonts w:ascii="Times New Roman" w:hAnsi="Times New Roman" w:cs="Times New Roman"/>
                <w:color w:val="373D3F"/>
                <w:sz w:val="24"/>
                <w:szCs w:val="24"/>
                <w:shd w:val="clear" w:color="auto" w:fill="F8F8F8"/>
              </w:rPr>
              <w:t>Caused by elevating structures attached to the lateral femoral condyle</w:t>
            </w:r>
          </w:p>
          <w:p w:rsidR="0067014B" w:rsidRPr="00F96F2B" w:rsidRDefault="0067014B" w:rsidP="00F96F2B">
            <w:pPr>
              <w:spacing w:line="480" w:lineRule="auto"/>
              <w:jc w:val="both"/>
              <w:rPr>
                <w:rFonts w:ascii="Times New Roman" w:hAnsi="Times New Roman" w:cs="Times New Roman"/>
                <w:sz w:val="24"/>
                <w:szCs w:val="24"/>
              </w:rPr>
            </w:pPr>
          </w:p>
        </w:tc>
      </w:tr>
      <w:tr w:rsidR="0067014B" w:rsidRPr="00F96F2B" w:rsidTr="0067014B">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5" w:type="dxa"/>
          </w:tcPr>
          <w:p w:rsidR="0067014B" w:rsidRPr="00F96F2B" w:rsidRDefault="002550F3"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Varus</w:t>
            </w:r>
          </w:p>
        </w:tc>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6" w:type="dxa"/>
          </w:tcPr>
          <w:p w:rsidR="008B207B" w:rsidRPr="00F96F2B" w:rsidRDefault="008B207B" w:rsidP="00F96F2B">
            <w:pPr>
              <w:spacing w:line="480" w:lineRule="auto"/>
              <w:jc w:val="both"/>
              <w:rPr>
                <w:rFonts w:ascii="Times New Roman" w:hAnsi="Times New Roman" w:cs="Times New Roman"/>
                <w:sz w:val="24"/>
                <w:szCs w:val="24"/>
              </w:rPr>
            </w:pPr>
            <w:r w:rsidRPr="00F96F2B">
              <w:rPr>
                <w:rFonts w:ascii="Times New Roman" w:hAnsi="Times New Roman" w:cs="Times New Roman"/>
                <w:color w:val="373D3F"/>
                <w:sz w:val="24"/>
                <w:szCs w:val="24"/>
                <w:shd w:val="clear" w:color="auto" w:fill="F8F8F8"/>
              </w:rPr>
              <w:t>Caused due to the release of tibia insertion of the superficial medial collateral ligament </w:t>
            </w:r>
          </w:p>
        </w:tc>
      </w:tr>
      <w:tr w:rsidR="0067014B" w:rsidRPr="00F96F2B" w:rsidTr="0067014B">
        <w:tc>
          <w:tcPr>
            <w:tcW w:w="1915" w:type="dxa"/>
          </w:tcPr>
          <w:p w:rsidR="0067014B" w:rsidRPr="00F96F2B" w:rsidRDefault="00CA6127"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LPHC</w:t>
            </w: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Forward lean </w:t>
            </w: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No</w:t>
            </w: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Yes</w:t>
            </w:r>
          </w:p>
        </w:tc>
        <w:tc>
          <w:tcPr>
            <w:tcW w:w="1916" w:type="dxa"/>
          </w:tcPr>
          <w:p w:rsidR="0067014B" w:rsidRPr="00F96F2B" w:rsidRDefault="0067014B" w:rsidP="00F96F2B">
            <w:pPr>
              <w:spacing w:line="480" w:lineRule="auto"/>
              <w:jc w:val="both"/>
              <w:rPr>
                <w:rFonts w:ascii="Times New Roman" w:hAnsi="Times New Roman" w:cs="Times New Roman"/>
                <w:sz w:val="24"/>
                <w:szCs w:val="24"/>
              </w:rPr>
            </w:pPr>
          </w:p>
        </w:tc>
      </w:tr>
      <w:tr w:rsidR="0067014B" w:rsidRPr="00F96F2B" w:rsidTr="0067014B">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Lumbar arching</w:t>
            </w: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No</w:t>
            </w: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yes</w:t>
            </w:r>
          </w:p>
        </w:tc>
        <w:tc>
          <w:tcPr>
            <w:tcW w:w="1916" w:type="dxa"/>
          </w:tcPr>
          <w:p w:rsidR="0067014B" w:rsidRPr="00F96F2B" w:rsidRDefault="0067014B" w:rsidP="00F96F2B">
            <w:pPr>
              <w:spacing w:line="480" w:lineRule="auto"/>
              <w:jc w:val="both"/>
              <w:rPr>
                <w:rFonts w:ascii="Times New Roman" w:hAnsi="Times New Roman" w:cs="Times New Roman"/>
                <w:sz w:val="24"/>
                <w:szCs w:val="24"/>
              </w:rPr>
            </w:pPr>
          </w:p>
        </w:tc>
      </w:tr>
      <w:tr w:rsidR="0067014B" w:rsidRPr="00F96F2B" w:rsidTr="0067014B">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Lumbar rounding</w:t>
            </w: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Yes</w:t>
            </w:r>
          </w:p>
        </w:tc>
        <w:tc>
          <w:tcPr>
            <w:tcW w:w="1915"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Yes </w:t>
            </w:r>
          </w:p>
        </w:tc>
        <w:tc>
          <w:tcPr>
            <w:tcW w:w="1916" w:type="dxa"/>
          </w:tcPr>
          <w:p w:rsidR="0067014B" w:rsidRPr="00F96F2B" w:rsidRDefault="00BC28C6"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Hips moving to flexion</w:t>
            </w:r>
          </w:p>
        </w:tc>
      </w:tr>
      <w:tr w:rsidR="0067014B" w:rsidRPr="00F96F2B" w:rsidTr="0067014B">
        <w:tc>
          <w:tcPr>
            <w:tcW w:w="1915" w:type="dxa"/>
          </w:tcPr>
          <w:p w:rsidR="0067014B" w:rsidRPr="00F96F2B" w:rsidRDefault="007E2F6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Head </w:t>
            </w:r>
          </w:p>
        </w:tc>
        <w:tc>
          <w:tcPr>
            <w:tcW w:w="1915" w:type="dxa"/>
          </w:tcPr>
          <w:p w:rsidR="0067014B" w:rsidRPr="00F96F2B" w:rsidRDefault="007E2F6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Protruding </w:t>
            </w:r>
          </w:p>
        </w:tc>
        <w:tc>
          <w:tcPr>
            <w:tcW w:w="1915" w:type="dxa"/>
          </w:tcPr>
          <w:p w:rsidR="0067014B" w:rsidRPr="00F96F2B" w:rsidRDefault="007E2F6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No </w:t>
            </w:r>
          </w:p>
        </w:tc>
        <w:tc>
          <w:tcPr>
            <w:tcW w:w="1915" w:type="dxa"/>
          </w:tcPr>
          <w:p w:rsidR="0067014B" w:rsidRPr="00F96F2B" w:rsidRDefault="007E2F6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Yes </w:t>
            </w:r>
          </w:p>
        </w:tc>
        <w:tc>
          <w:tcPr>
            <w:tcW w:w="1916" w:type="dxa"/>
          </w:tcPr>
          <w:p w:rsidR="0067014B" w:rsidRPr="00F96F2B" w:rsidRDefault="0067014B" w:rsidP="00F96F2B">
            <w:pPr>
              <w:spacing w:line="480" w:lineRule="auto"/>
              <w:jc w:val="both"/>
              <w:rPr>
                <w:rFonts w:ascii="Times New Roman" w:hAnsi="Times New Roman" w:cs="Times New Roman"/>
                <w:sz w:val="24"/>
                <w:szCs w:val="24"/>
              </w:rPr>
            </w:pPr>
          </w:p>
        </w:tc>
      </w:tr>
      <w:tr w:rsidR="0067014B" w:rsidRPr="00F96F2B" w:rsidTr="0067014B">
        <w:tc>
          <w:tcPr>
            <w:tcW w:w="1915" w:type="dxa"/>
          </w:tcPr>
          <w:p w:rsidR="0067014B" w:rsidRPr="00F96F2B" w:rsidRDefault="007E2F6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Score: left/right </w:t>
            </w:r>
          </w:p>
        </w:tc>
        <w:tc>
          <w:tcPr>
            <w:tcW w:w="1915" w:type="dxa"/>
          </w:tcPr>
          <w:p w:rsidR="0067014B" w:rsidRPr="00F96F2B" w:rsidRDefault="007E2F6D"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4/8</w:t>
            </w:r>
          </w:p>
        </w:tc>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5" w:type="dxa"/>
          </w:tcPr>
          <w:p w:rsidR="0067014B" w:rsidRPr="00F96F2B" w:rsidRDefault="0067014B" w:rsidP="00F96F2B">
            <w:pPr>
              <w:spacing w:line="480" w:lineRule="auto"/>
              <w:jc w:val="both"/>
              <w:rPr>
                <w:rFonts w:ascii="Times New Roman" w:hAnsi="Times New Roman" w:cs="Times New Roman"/>
                <w:sz w:val="24"/>
                <w:szCs w:val="24"/>
              </w:rPr>
            </w:pPr>
          </w:p>
        </w:tc>
        <w:tc>
          <w:tcPr>
            <w:tcW w:w="1916" w:type="dxa"/>
          </w:tcPr>
          <w:p w:rsidR="0067014B" w:rsidRPr="00F96F2B" w:rsidRDefault="0067014B" w:rsidP="00F96F2B">
            <w:pPr>
              <w:spacing w:line="480" w:lineRule="auto"/>
              <w:jc w:val="both"/>
              <w:rPr>
                <w:rFonts w:ascii="Times New Roman" w:hAnsi="Times New Roman" w:cs="Times New Roman"/>
                <w:sz w:val="24"/>
                <w:szCs w:val="24"/>
              </w:rPr>
            </w:pPr>
          </w:p>
        </w:tc>
      </w:tr>
    </w:tbl>
    <w:p w:rsidR="0067014B" w:rsidRPr="00F96F2B" w:rsidRDefault="0067014B" w:rsidP="00F96F2B">
      <w:pPr>
        <w:spacing w:line="480" w:lineRule="auto"/>
        <w:jc w:val="both"/>
        <w:rPr>
          <w:rFonts w:ascii="Times New Roman" w:hAnsi="Times New Roman" w:cs="Times New Roman"/>
          <w:sz w:val="24"/>
          <w:szCs w:val="24"/>
        </w:rPr>
      </w:pPr>
    </w:p>
    <w:p w:rsidR="00271D59" w:rsidRPr="00F96F2B" w:rsidRDefault="00271D59"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The assessment was to help gain the client's functional status; thus, it is easier to evaluate the dynamic flexibility.  The flexibility test is for the actions in tennis; it can be done for the lower back and hamstring</w:t>
      </w:r>
      <w:r w:rsidR="009B5891" w:rsidRPr="009B5891">
        <w:rPr>
          <w:rFonts w:ascii="Times New Roman" w:hAnsi="Times New Roman" w:cs="Times New Roman"/>
          <w:color w:val="222222"/>
          <w:sz w:val="24"/>
          <w:szCs w:val="24"/>
          <w:shd w:val="clear" w:color="auto" w:fill="FFFFFF"/>
        </w:rPr>
        <w:t xml:space="preserve"> </w:t>
      </w:r>
      <w:r w:rsidR="009B5891">
        <w:rPr>
          <w:rFonts w:ascii="Times New Roman" w:hAnsi="Times New Roman" w:cs="Times New Roman"/>
          <w:color w:val="222222"/>
          <w:sz w:val="24"/>
          <w:szCs w:val="24"/>
          <w:shd w:val="clear" w:color="auto" w:fill="FFFFFF"/>
        </w:rPr>
        <w:t>(Kim et al., 2018)</w:t>
      </w:r>
      <w:r w:rsidRPr="00F96F2B">
        <w:rPr>
          <w:rFonts w:ascii="Times New Roman" w:hAnsi="Times New Roman" w:cs="Times New Roman"/>
          <w:sz w:val="24"/>
          <w:szCs w:val="24"/>
        </w:rPr>
        <w:t>.</w:t>
      </w:r>
    </w:p>
    <w:p w:rsidR="00271D59" w:rsidRPr="008E3FF3" w:rsidRDefault="00271D59" w:rsidP="00F96F2B">
      <w:pPr>
        <w:spacing w:line="480" w:lineRule="auto"/>
        <w:jc w:val="both"/>
        <w:rPr>
          <w:rFonts w:ascii="Times New Roman" w:hAnsi="Times New Roman" w:cs="Times New Roman"/>
          <w:b/>
          <w:sz w:val="24"/>
          <w:szCs w:val="24"/>
        </w:rPr>
      </w:pPr>
      <w:r w:rsidRPr="008E3FF3">
        <w:rPr>
          <w:rFonts w:ascii="Times New Roman" w:hAnsi="Times New Roman" w:cs="Times New Roman"/>
          <w:b/>
          <w:sz w:val="24"/>
          <w:szCs w:val="24"/>
        </w:rPr>
        <w:t>Determining compensation: anterior view</w:t>
      </w:r>
    </w:p>
    <w:p w:rsidR="00271D59" w:rsidRPr="00F96F2B" w:rsidRDefault="00271D59" w:rsidP="00F96F2B">
      <w:pPr>
        <w:spacing w:line="480" w:lineRule="auto"/>
        <w:jc w:val="both"/>
        <w:rPr>
          <w:rFonts w:ascii="Times New Roman" w:hAnsi="Times New Roman" w:cs="Times New Roman"/>
          <w:sz w:val="24"/>
          <w:szCs w:val="24"/>
        </w:rPr>
      </w:pPr>
      <w:r w:rsidRPr="008E3FF3">
        <w:rPr>
          <w:rFonts w:ascii="Times New Roman" w:hAnsi="Times New Roman" w:cs="Times New Roman"/>
          <w:b/>
          <w:sz w:val="24"/>
          <w:szCs w:val="24"/>
        </w:rPr>
        <w:t>Feet:</w:t>
      </w:r>
      <w:r w:rsidRPr="00F96F2B">
        <w:rPr>
          <w:rFonts w:ascii="Times New Roman" w:hAnsi="Times New Roman" w:cs="Times New Roman"/>
          <w:sz w:val="24"/>
          <w:szCs w:val="24"/>
        </w:rPr>
        <w:t xml:space="preserve"> the feet flatten and turn out</w:t>
      </w:r>
    </w:p>
    <w:p w:rsidR="00271D59" w:rsidRPr="00F96F2B" w:rsidRDefault="00271D59" w:rsidP="00F96F2B">
      <w:pPr>
        <w:spacing w:line="480" w:lineRule="auto"/>
        <w:jc w:val="both"/>
        <w:rPr>
          <w:rFonts w:ascii="Times New Roman" w:hAnsi="Times New Roman" w:cs="Times New Roman"/>
          <w:sz w:val="24"/>
          <w:szCs w:val="24"/>
        </w:rPr>
      </w:pPr>
      <w:r w:rsidRPr="008E3FF3">
        <w:rPr>
          <w:rFonts w:ascii="Times New Roman" w:hAnsi="Times New Roman" w:cs="Times New Roman"/>
          <w:b/>
          <w:sz w:val="24"/>
          <w:szCs w:val="24"/>
        </w:rPr>
        <w:t>Knees:</w:t>
      </w:r>
      <w:r w:rsidRPr="00F96F2B">
        <w:rPr>
          <w:rFonts w:ascii="Times New Roman" w:hAnsi="Times New Roman" w:cs="Times New Roman"/>
          <w:sz w:val="24"/>
          <w:szCs w:val="24"/>
        </w:rPr>
        <w:t xml:space="preserve"> the knees move inward; this occurred due to the lack of range of motion at the hip and </w:t>
      </w:r>
      <w:r w:rsidRPr="008E3FF3">
        <w:rPr>
          <w:rFonts w:ascii="Times New Roman" w:hAnsi="Times New Roman" w:cs="Times New Roman"/>
          <w:b/>
          <w:sz w:val="24"/>
          <w:szCs w:val="24"/>
        </w:rPr>
        <w:t>ankle.</w:t>
      </w:r>
      <w:r w:rsidRPr="00F96F2B">
        <w:rPr>
          <w:rFonts w:ascii="Times New Roman" w:hAnsi="Times New Roman" w:cs="Times New Roman"/>
          <w:sz w:val="24"/>
          <w:szCs w:val="24"/>
        </w:rPr>
        <w:t xml:space="preserve"> The bone segment distal of the joint is angled outwards during the assessment.</w:t>
      </w:r>
    </w:p>
    <w:p w:rsidR="00271D59" w:rsidRPr="008E3FF3" w:rsidRDefault="00271D59" w:rsidP="00F96F2B">
      <w:pPr>
        <w:spacing w:line="480" w:lineRule="auto"/>
        <w:jc w:val="both"/>
        <w:rPr>
          <w:rFonts w:ascii="Times New Roman" w:hAnsi="Times New Roman" w:cs="Times New Roman"/>
          <w:b/>
          <w:sz w:val="24"/>
          <w:szCs w:val="24"/>
        </w:rPr>
      </w:pPr>
      <w:r w:rsidRPr="008E3FF3">
        <w:rPr>
          <w:rFonts w:ascii="Times New Roman" w:hAnsi="Times New Roman" w:cs="Times New Roman"/>
          <w:b/>
          <w:sz w:val="24"/>
          <w:szCs w:val="24"/>
        </w:rPr>
        <w:t>Compensation: lateral view</w:t>
      </w:r>
    </w:p>
    <w:p w:rsidR="00271D59" w:rsidRPr="00F96F2B" w:rsidRDefault="00271D59" w:rsidP="00F96F2B">
      <w:pPr>
        <w:spacing w:line="480" w:lineRule="auto"/>
        <w:jc w:val="both"/>
        <w:rPr>
          <w:rFonts w:ascii="Times New Roman" w:hAnsi="Times New Roman" w:cs="Times New Roman"/>
          <w:sz w:val="24"/>
          <w:szCs w:val="24"/>
        </w:rPr>
      </w:pPr>
      <w:r w:rsidRPr="008E3FF3">
        <w:rPr>
          <w:rFonts w:ascii="Times New Roman" w:hAnsi="Times New Roman" w:cs="Times New Roman"/>
          <w:b/>
          <w:sz w:val="24"/>
          <w:szCs w:val="24"/>
        </w:rPr>
        <w:t>Limbo</w:t>
      </w:r>
      <w:r w:rsidRPr="00F96F2B">
        <w:rPr>
          <w:rFonts w:ascii="Times New Roman" w:hAnsi="Times New Roman" w:cs="Times New Roman"/>
          <w:sz w:val="24"/>
          <w:szCs w:val="24"/>
        </w:rPr>
        <w:t>-pelvic hip complex: the lower backaches</w:t>
      </w:r>
    </w:p>
    <w:p w:rsidR="00271D59" w:rsidRPr="00F96F2B" w:rsidRDefault="00271D59"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The torso leans forward excessively</w:t>
      </w:r>
    </w:p>
    <w:p w:rsidR="00271D59" w:rsidRPr="00F96F2B" w:rsidRDefault="00271D59" w:rsidP="00F96F2B">
      <w:pPr>
        <w:spacing w:line="480" w:lineRule="auto"/>
        <w:jc w:val="both"/>
        <w:rPr>
          <w:rFonts w:ascii="Times New Roman" w:hAnsi="Times New Roman" w:cs="Times New Roman"/>
          <w:sz w:val="24"/>
          <w:szCs w:val="24"/>
        </w:rPr>
      </w:pPr>
      <w:r w:rsidRPr="008E3FF3">
        <w:rPr>
          <w:rFonts w:ascii="Times New Roman" w:hAnsi="Times New Roman" w:cs="Times New Roman"/>
          <w:b/>
          <w:sz w:val="24"/>
          <w:szCs w:val="24"/>
        </w:rPr>
        <w:t>Shoulder:</w:t>
      </w:r>
      <w:r w:rsidRPr="00F96F2B">
        <w:rPr>
          <w:rFonts w:ascii="Times New Roman" w:hAnsi="Times New Roman" w:cs="Times New Roman"/>
          <w:sz w:val="24"/>
          <w:szCs w:val="24"/>
        </w:rPr>
        <w:t xml:space="preserve"> the arms fall forward.</w:t>
      </w:r>
    </w:p>
    <w:p w:rsidR="00271D59" w:rsidRPr="00F96F2B" w:rsidRDefault="00271D59" w:rsidP="00F96F2B">
      <w:pPr>
        <w:spacing w:line="480" w:lineRule="auto"/>
        <w:jc w:val="both"/>
        <w:rPr>
          <w:rFonts w:ascii="Times New Roman" w:hAnsi="Times New Roman" w:cs="Times New Roman"/>
          <w:sz w:val="24"/>
          <w:szCs w:val="24"/>
        </w:rPr>
      </w:pPr>
      <w:r w:rsidRPr="008E3FF3">
        <w:rPr>
          <w:rFonts w:ascii="Times New Roman" w:hAnsi="Times New Roman" w:cs="Times New Roman"/>
          <w:b/>
          <w:sz w:val="24"/>
          <w:szCs w:val="24"/>
        </w:rPr>
        <w:t>Overactive muscle</w:t>
      </w:r>
      <w:r w:rsidRPr="00F96F2B">
        <w:rPr>
          <w:rFonts w:ascii="Times New Roman" w:hAnsi="Times New Roman" w:cs="Times New Roman"/>
          <w:sz w:val="24"/>
          <w:szCs w:val="24"/>
        </w:rPr>
        <w:t>: it is a disruptive neuromuscular recruitment pattern that results in an overactive muscle during a joint action.</w:t>
      </w:r>
    </w:p>
    <w:p w:rsidR="00271D59" w:rsidRPr="00F96F2B" w:rsidRDefault="00271D59"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The valgus is in the hip abductor muscle.</w:t>
      </w:r>
    </w:p>
    <w:p w:rsidR="00271D59" w:rsidRPr="00F96F2B" w:rsidRDefault="00271D59"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lastRenderedPageBreak/>
        <w:t>The knees moving outwards</w:t>
      </w:r>
      <w:r w:rsidR="00F96F2B" w:rsidRPr="00F96F2B">
        <w:rPr>
          <w:rFonts w:ascii="Times New Roman" w:hAnsi="Times New Roman" w:cs="Times New Roman"/>
          <w:sz w:val="24"/>
          <w:szCs w:val="24"/>
        </w:rPr>
        <w:t>,</w:t>
      </w:r>
      <w:r w:rsidRPr="00F96F2B">
        <w:rPr>
          <w:rFonts w:ascii="Times New Roman" w:hAnsi="Times New Roman" w:cs="Times New Roman"/>
          <w:sz w:val="24"/>
          <w:szCs w:val="24"/>
        </w:rPr>
        <w:t xml:space="preserve"> is a sign of overactive muscle; the muscle that moves for an overactive is the piriformis, gluteus minimus</w:t>
      </w:r>
      <w:r w:rsidR="00C9369D" w:rsidRPr="00C9369D">
        <w:rPr>
          <w:rFonts w:ascii="Times New Roman" w:hAnsi="Times New Roman" w:cs="Times New Roman"/>
          <w:color w:val="222222"/>
          <w:sz w:val="24"/>
          <w:szCs w:val="24"/>
          <w:shd w:val="clear" w:color="auto" w:fill="FFFFFF"/>
        </w:rPr>
        <w:t xml:space="preserve"> </w:t>
      </w:r>
      <w:r w:rsidR="00C9369D">
        <w:rPr>
          <w:rFonts w:ascii="Times New Roman" w:hAnsi="Times New Roman" w:cs="Times New Roman"/>
          <w:color w:val="222222"/>
          <w:sz w:val="24"/>
          <w:szCs w:val="24"/>
          <w:shd w:val="clear" w:color="auto" w:fill="FFFFFF"/>
        </w:rPr>
        <w:t>(Martin et al., 2020)</w:t>
      </w:r>
      <w:r w:rsidRPr="00F96F2B">
        <w:rPr>
          <w:rFonts w:ascii="Times New Roman" w:hAnsi="Times New Roman" w:cs="Times New Roman"/>
          <w:sz w:val="24"/>
          <w:szCs w:val="24"/>
        </w:rPr>
        <w:t>.</w:t>
      </w:r>
    </w:p>
    <w:p w:rsidR="00271D59" w:rsidRPr="00F96F2B" w:rsidRDefault="00271D59" w:rsidP="00F96F2B">
      <w:pPr>
        <w:spacing w:line="480" w:lineRule="auto"/>
        <w:jc w:val="both"/>
        <w:rPr>
          <w:rFonts w:ascii="Times New Roman" w:hAnsi="Times New Roman" w:cs="Times New Roman"/>
          <w:sz w:val="24"/>
          <w:szCs w:val="24"/>
        </w:rPr>
      </w:pPr>
      <w:r w:rsidRPr="008E3FF3">
        <w:rPr>
          <w:rFonts w:ascii="Times New Roman" w:hAnsi="Times New Roman" w:cs="Times New Roman"/>
          <w:b/>
          <w:sz w:val="24"/>
          <w:szCs w:val="24"/>
        </w:rPr>
        <w:t>Underactive muscle</w:t>
      </w:r>
      <w:r w:rsidRPr="00F96F2B">
        <w:rPr>
          <w:rFonts w:ascii="Times New Roman" w:hAnsi="Times New Roman" w:cs="Times New Roman"/>
          <w:sz w:val="24"/>
          <w:szCs w:val="24"/>
        </w:rPr>
        <w:t>: disruption of neuromuscular recruitment pattern that causes a less active muscle during joint action. The muscle that moves for the underactive is the adductor complex.</w:t>
      </w:r>
    </w:p>
    <w:p w:rsidR="00271D59" w:rsidRPr="00F96F2B" w:rsidRDefault="00271D59"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The </w:t>
      </w:r>
      <w:r w:rsidRPr="008E3FF3">
        <w:rPr>
          <w:rFonts w:ascii="Times New Roman" w:hAnsi="Times New Roman" w:cs="Times New Roman"/>
          <w:b/>
          <w:sz w:val="24"/>
          <w:szCs w:val="24"/>
        </w:rPr>
        <w:t>agility test</w:t>
      </w:r>
      <w:r w:rsidRPr="00F96F2B">
        <w:rPr>
          <w:rFonts w:ascii="Times New Roman" w:hAnsi="Times New Roman" w:cs="Times New Roman"/>
          <w:sz w:val="24"/>
          <w:szCs w:val="24"/>
        </w:rPr>
        <w:t xml:space="preserve"> is the player's ability to change directions while maintaining balance and control quickly.</w:t>
      </w:r>
    </w:p>
    <w:p w:rsidR="00271D59" w:rsidRPr="00F96F2B" w:rsidRDefault="00271D59"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The 505 agility test is recommended for a tennis player because it tests the ability of the player to change direction at 90 and 180 degrees.  The assessment was conducted for 30 minutes. The tests results are below:</w:t>
      </w:r>
    </w:p>
    <w:p w:rsidR="00D72F81" w:rsidRPr="008E3FF3" w:rsidRDefault="00D72F81" w:rsidP="00F96F2B">
      <w:pPr>
        <w:spacing w:line="480" w:lineRule="auto"/>
        <w:jc w:val="both"/>
        <w:rPr>
          <w:rFonts w:ascii="Times New Roman" w:hAnsi="Times New Roman" w:cs="Times New Roman"/>
          <w:b/>
          <w:sz w:val="24"/>
          <w:szCs w:val="24"/>
        </w:rPr>
      </w:pPr>
      <w:r w:rsidRPr="008E3FF3">
        <w:rPr>
          <w:rFonts w:ascii="Times New Roman" w:hAnsi="Times New Roman" w:cs="Times New Roman"/>
          <w:b/>
          <w:sz w:val="24"/>
          <w:szCs w:val="24"/>
        </w:rPr>
        <w:t>Assessment</w:t>
      </w:r>
    </w:p>
    <w:p w:rsidR="00D72F81" w:rsidRPr="00F96F2B" w:rsidRDefault="00D72F81"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Test time 30 minutes</w:t>
      </w:r>
    </w:p>
    <w:p w:rsidR="00D72F81" w:rsidRPr="00F96F2B" w:rsidRDefault="00D72F81"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Feet </w:t>
      </w:r>
      <w:r w:rsidR="00E871D7" w:rsidRPr="00F96F2B">
        <w:rPr>
          <w:rFonts w:ascii="Times New Roman" w:hAnsi="Times New Roman" w:cs="Times New Roman"/>
          <w:sz w:val="24"/>
          <w:szCs w:val="24"/>
        </w:rPr>
        <w:t>/ sec: 1.09</w:t>
      </w:r>
    </w:p>
    <w:p w:rsidR="00E871D7" w:rsidRPr="00F96F2B" w:rsidRDefault="00E871D7"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Mph: 0.75</w:t>
      </w:r>
    </w:p>
    <w:p w:rsidR="00E871D7" w:rsidRPr="00F96F2B" w:rsidRDefault="00E871D7"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M/sec: 0.33</w:t>
      </w:r>
    </w:p>
    <w:p w:rsidR="00E871D7" w:rsidRPr="00F96F2B" w:rsidRDefault="00E871D7"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Km/h: 1.2</w:t>
      </w:r>
    </w:p>
    <w:p w:rsidR="00F96F2B" w:rsidRPr="00F96F2B" w:rsidRDefault="00F96F2B" w:rsidP="00F96F2B">
      <w:pPr>
        <w:spacing w:line="480" w:lineRule="auto"/>
        <w:jc w:val="both"/>
        <w:rPr>
          <w:rFonts w:ascii="Times New Roman" w:hAnsi="Times New Roman" w:cs="Times New Roman"/>
          <w:sz w:val="24"/>
          <w:szCs w:val="24"/>
        </w:rPr>
      </w:pPr>
      <w:r w:rsidRPr="008E3FF3">
        <w:rPr>
          <w:rFonts w:ascii="Times New Roman" w:hAnsi="Times New Roman" w:cs="Times New Roman"/>
          <w:b/>
          <w:sz w:val="24"/>
          <w:szCs w:val="24"/>
        </w:rPr>
        <w:t>The vertical jump</w:t>
      </w:r>
      <w:r w:rsidRPr="00F96F2B">
        <w:rPr>
          <w:rFonts w:ascii="Times New Roman" w:hAnsi="Times New Roman" w:cs="Times New Roman"/>
          <w:sz w:val="24"/>
          <w:szCs w:val="24"/>
        </w:rPr>
        <w:t xml:space="preserve"> is related to tennis because it helps tennis players develop muscle power useful in speed and powerful hitting. They go hand in hand because the arm swing</w:t>
      </w:r>
      <w:r w:rsidR="008D523F">
        <w:rPr>
          <w:rFonts w:ascii="Times New Roman" w:hAnsi="Times New Roman" w:cs="Times New Roman"/>
          <w:sz w:val="24"/>
          <w:szCs w:val="24"/>
        </w:rPr>
        <w:t>s</w:t>
      </w:r>
      <w:r w:rsidRPr="00F96F2B">
        <w:rPr>
          <w:rFonts w:ascii="Times New Roman" w:hAnsi="Times New Roman" w:cs="Times New Roman"/>
          <w:sz w:val="24"/>
          <w:szCs w:val="24"/>
        </w:rPr>
        <w:t xml:space="preserve"> helps increase vertical jump height, facilitated by great hip muscle work</w:t>
      </w:r>
      <w:r w:rsidR="00DD2860" w:rsidRPr="00DD2860">
        <w:rPr>
          <w:rFonts w:ascii="Times New Roman" w:hAnsi="Times New Roman" w:cs="Times New Roman"/>
          <w:color w:val="222222"/>
          <w:sz w:val="24"/>
          <w:szCs w:val="24"/>
          <w:shd w:val="clear" w:color="auto" w:fill="FFFFFF"/>
        </w:rPr>
        <w:t xml:space="preserve"> </w:t>
      </w:r>
      <w:r w:rsidR="00DD2860">
        <w:rPr>
          <w:rFonts w:ascii="Times New Roman" w:hAnsi="Times New Roman" w:cs="Times New Roman"/>
          <w:color w:val="222222"/>
          <w:sz w:val="24"/>
          <w:szCs w:val="24"/>
          <w:shd w:val="clear" w:color="auto" w:fill="FFFFFF"/>
        </w:rPr>
        <w:t>(Watkin</w:t>
      </w:r>
      <w:bookmarkStart w:id="0" w:name="_GoBack"/>
      <w:bookmarkEnd w:id="0"/>
      <w:r w:rsidR="00DD2860">
        <w:rPr>
          <w:rFonts w:ascii="Times New Roman" w:hAnsi="Times New Roman" w:cs="Times New Roman"/>
          <w:color w:val="222222"/>
          <w:sz w:val="24"/>
          <w:szCs w:val="24"/>
          <w:shd w:val="clear" w:color="auto" w:fill="FFFFFF"/>
        </w:rPr>
        <w:t>s et al., 2017)</w:t>
      </w:r>
      <w:r w:rsidRPr="00F96F2B">
        <w:rPr>
          <w:rFonts w:ascii="Times New Roman" w:hAnsi="Times New Roman" w:cs="Times New Roman"/>
          <w:sz w:val="24"/>
          <w:szCs w:val="24"/>
        </w:rPr>
        <w:t>.</w:t>
      </w:r>
    </w:p>
    <w:p w:rsidR="00F96F2B" w:rsidRPr="00F96F2B" w:rsidRDefault="00F96F2B" w:rsidP="00F96F2B">
      <w:pPr>
        <w:spacing w:line="480" w:lineRule="auto"/>
        <w:jc w:val="both"/>
        <w:rPr>
          <w:rFonts w:ascii="Times New Roman" w:hAnsi="Times New Roman" w:cs="Times New Roman"/>
          <w:sz w:val="24"/>
          <w:szCs w:val="24"/>
        </w:rPr>
      </w:pPr>
      <w:r w:rsidRPr="008E3FF3">
        <w:rPr>
          <w:rFonts w:ascii="Times New Roman" w:hAnsi="Times New Roman" w:cs="Times New Roman"/>
          <w:b/>
          <w:sz w:val="24"/>
          <w:szCs w:val="24"/>
        </w:rPr>
        <w:lastRenderedPageBreak/>
        <w:t>Upper body assessment power</w:t>
      </w:r>
      <w:r w:rsidRPr="00F96F2B">
        <w:rPr>
          <w:rFonts w:ascii="Times New Roman" w:hAnsi="Times New Roman" w:cs="Times New Roman"/>
          <w:sz w:val="24"/>
          <w:szCs w:val="24"/>
        </w:rPr>
        <w:t xml:space="preserve"> is required for tennis players. During the assessment, the following should be evaluated.</w:t>
      </w:r>
    </w:p>
    <w:p w:rsidR="00F96F2B" w:rsidRPr="00F96F2B" w:rsidRDefault="008E3FF3" w:rsidP="00F96F2B">
      <w:pPr>
        <w:spacing w:line="480" w:lineRule="auto"/>
        <w:jc w:val="both"/>
        <w:rPr>
          <w:rFonts w:ascii="Times New Roman" w:hAnsi="Times New Roman" w:cs="Times New Roman"/>
          <w:sz w:val="24"/>
          <w:szCs w:val="24"/>
        </w:rPr>
      </w:pPr>
      <w:r w:rsidRPr="003924B5">
        <w:rPr>
          <w:rFonts w:ascii="Times New Roman" w:hAnsi="Times New Roman" w:cs="Times New Roman"/>
          <w:b/>
          <w:sz w:val="24"/>
          <w:szCs w:val="24"/>
        </w:rPr>
        <w:t>The pelvic tilt</w:t>
      </w:r>
      <w:r>
        <w:rPr>
          <w:rFonts w:ascii="Times New Roman" w:hAnsi="Times New Roman" w:cs="Times New Roman"/>
          <w:sz w:val="24"/>
          <w:szCs w:val="24"/>
        </w:rPr>
        <w:t>-</w:t>
      </w:r>
      <w:r w:rsidR="00F96F2B" w:rsidRPr="00F96F2B">
        <w:rPr>
          <w:rFonts w:ascii="Times New Roman" w:hAnsi="Times New Roman" w:cs="Times New Roman"/>
          <w:sz w:val="24"/>
          <w:szCs w:val="24"/>
        </w:rPr>
        <w:t xml:space="preserve"> a strong anterior pelvic tilt is crucial has a visible downward slant to the pelvis.</w:t>
      </w:r>
    </w:p>
    <w:p w:rsidR="00F96F2B" w:rsidRPr="00F96F2B" w:rsidRDefault="00F96F2B" w:rsidP="00F96F2B">
      <w:pPr>
        <w:spacing w:line="480" w:lineRule="auto"/>
        <w:jc w:val="both"/>
        <w:rPr>
          <w:rFonts w:ascii="Times New Roman" w:hAnsi="Times New Roman" w:cs="Times New Roman"/>
          <w:sz w:val="24"/>
          <w:szCs w:val="24"/>
        </w:rPr>
      </w:pPr>
      <w:r w:rsidRPr="003924B5">
        <w:rPr>
          <w:rFonts w:ascii="Times New Roman" w:hAnsi="Times New Roman" w:cs="Times New Roman"/>
          <w:b/>
          <w:sz w:val="24"/>
          <w:szCs w:val="24"/>
        </w:rPr>
        <w:t>Lower back</w:t>
      </w:r>
      <w:r w:rsidRPr="00F96F2B">
        <w:rPr>
          <w:rFonts w:ascii="Times New Roman" w:hAnsi="Times New Roman" w:cs="Times New Roman"/>
          <w:sz w:val="24"/>
          <w:szCs w:val="24"/>
        </w:rPr>
        <w:t>- the assessment of the overextended lumbar spine; the space between the low back and wall should be observed.</w:t>
      </w:r>
    </w:p>
    <w:p w:rsidR="00F96F2B" w:rsidRPr="00F96F2B" w:rsidRDefault="00F96F2B" w:rsidP="00F96F2B">
      <w:pPr>
        <w:spacing w:line="480" w:lineRule="auto"/>
        <w:jc w:val="both"/>
        <w:rPr>
          <w:rFonts w:ascii="Times New Roman" w:hAnsi="Times New Roman" w:cs="Times New Roman"/>
          <w:sz w:val="24"/>
          <w:szCs w:val="24"/>
        </w:rPr>
      </w:pPr>
      <w:r w:rsidRPr="003924B5">
        <w:rPr>
          <w:rFonts w:ascii="Times New Roman" w:hAnsi="Times New Roman" w:cs="Times New Roman"/>
          <w:b/>
          <w:sz w:val="24"/>
          <w:szCs w:val="24"/>
        </w:rPr>
        <w:t>Thoracic spine</w:t>
      </w:r>
      <w:r w:rsidRPr="00F96F2B">
        <w:rPr>
          <w:rFonts w:ascii="Times New Roman" w:hAnsi="Times New Roman" w:cs="Times New Roman"/>
          <w:sz w:val="24"/>
          <w:szCs w:val="24"/>
        </w:rPr>
        <w:t>- the mobility of the mid-back can be assessed by standing against the wall. Stiffness in the test and the ability of the client to maintain the mid-back against the wall should be assessed.</w:t>
      </w:r>
    </w:p>
    <w:p w:rsidR="00F96F2B" w:rsidRPr="00F96F2B" w:rsidRDefault="00F96F2B"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Tennis players require</w:t>
      </w:r>
      <w:r w:rsidRPr="003924B5">
        <w:rPr>
          <w:rFonts w:ascii="Times New Roman" w:hAnsi="Times New Roman" w:cs="Times New Roman"/>
          <w:b/>
          <w:sz w:val="24"/>
          <w:szCs w:val="24"/>
        </w:rPr>
        <w:t xml:space="preserve"> strength</w:t>
      </w:r>
      <w:r w:rsidRPr="00F96F2B">
        <w:rPr>
          <w:rFonts w:ascii="Times New Roman" w:hAnsi="Times New Roman" w:cs="Times New Roman"/>
          <w:sz w:val="24"/>
          <w:szCs w:val="24"/>
        </w:rPr>
        <w:t xml:space="preserve"> and power, and the endurance to take over five sets.</w:t>
      </w:r>
    </w:p>
    <w:p w:rsidR="00F96F2B" w:rsidRPr="00F96F2B" w:rsidRDefault="00F96F2B"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In tennis, it is the strength that is used to generate endurance speed and power. It is impossible to have strength without power. Strength is crucial to prevent injury.  </w:t>
      </w:r>
    </w:p>
    <w:p w:rsidR="0077159B" w:rsidRDefault="00F96F2B" w:rsidP="00F96F2B">
      <w:pPr>
        <w:spacing w:line="480" w:lineRule="auto"/>
        <w:jc w:val="both"/>
        <w:rPr>
          <w:rFonts w:ascii="Times New Roman" w:hAnsi="Times New Roman" w:cs="Times New Roman"/>
          <w:sz w:val="24"/>
          <w:szCs w:val="24"/>
        </w:rPr>
      </w:pPr>
      <w:r w:rsidRPr="00F96F2B">
        <w:rPr>
          <w:rFonts w:ascii="Times New Roman" w:hAnsi="Times New Roman" w:cs="Times New Roman"/>
          <w:sz w:val="24"/>
          <w:szCs w:val="24"/>
        </w:rPr>
        <w:t xml:space="preserve">The </w:t>
      </w:r>
      <w:r w:rsidRPr="003924B5">
        <w:rPr>
          <w:rFonts w:ascii="Times New Roman" w:hAnsi="Times New Roman" w:cs="Times New Roman"/>
          <w:b/>
          <w:sz w:val="24"/>
          <w:szCs w:val="24"/>
        </w:rPr>
        <w:t>b</w:t>
      </w:r>
      <w:r w:rsidRPr="003924B5">
        <w:rPr>
          <w:rFonts w:ascii="Times New Roman" w:hAnsi="Times New Roman" w:cs="Times New Roman"/>
          <w:b/>
          <w:sz w:val="24"/>
          <w:szCs w:val="24"/>
        </w:rPr>
        <w:t>ench press test</w:t>
      </w:r>
      <w:r>
        <w:rPr>
          <w:rFonts w:ascii="Times New Roman" w:hAnsi="Times New Roman" w:cs="Times New Roman"/>
          <w:sz w:val="24"/>
          <w:szCs w:val="24"/>
        </w:rPr>
        <w:t xml:space="preserve"> can </w:t>
      </w:r>
      <w:r w:rsidRPr="00F96F2B">
        <w:rPr>
          <w:rFonts w:ascii="Times New Roman" w:hAnsi="Times New Roman" w:cs="Times New Roman"/>
          <w:sz w:val="24"/>
          <w:szCs w:val="24"/>
        </w:rPr>
        <w:t>be used to assess strength. The one-repetition maximum test is used to assess the isotonic muscle strength. It measures the amount of weight the client can carry in one repetition. &gt;1.60 is an excellent score, and &lt;0.90 is a poor score.</w:t>
      </w:r>
      <w:r w:rsidR="00E45F68" w:rsidRPr="00F96F2B">
        <w:rPr>
          <w:rFonts w:ascii="Times New Roman" w:hAnsi="Times New Roman" w:cs="Times New Roman"/>
          <w:sz w:val="24"/>
          <w:szCs w:val="24"/>
        </w:rPr>
        <w:t xml:space="preserve"> </w:t>
      </w:r>
    </w:p>
    <w:p w:rsidR="004E271D" w:rsidRDefault="004E271D" w:rsidP="00F96F2B">
      <w:pPr>
        <w:spacing w:line="480" w:lineRule="auto"/>
        <w:jc w:val="both"/>
        <w:rPr>
          <w:rStyle w:val="Strong"/>
          <w:rFonts w:ascii="Times New Roman" w:hAnsi="Times New Roman" w:cs="Times New Roman"/>
          <w:b w:val="0"/>
          <w:sz w:val="24"/>
          <w:szCs w:val="24"/>
        </w:rPr>
      </w:pPr>
      <w:r w:rsidRPr="004E271D">
        <w:rPr>
          <w:rStyle w:val="Strong"/>
          <w:rFonts w:ascii="Times New Roman" w:hAnsi="Times New Roman" w:cs="Times New Roman"/>
          <w:b w:val="0"/>
          <w:sz w:val="24"/>
          <w:szCs w:val="24"/>
        </w:rPr>
        <w:t>1 Rep Max Bench Press Table for adults</w:t>
      </w:r>
    </w:p>
    <w:tbl>
      <w:tblPr>
        <w:tblStyle w:val="TableGrid"/>
        <w:tblW w:w="0" w:type="auto"/>
        <w:tblLook w:val="04A0" w:firstRow="1" w:lastRow="0" w:firstColumn="1" w:lastColumn="0" w:noHBand="0" w:noVBand="1"/>
      </w:tblPr>
      <w:tblGrid>
        <w:gridCol w:w="4788"/>
        <w:gridCol w:w="4788"/>
      </w:tblGrid>
      <w:tr w:rsidR="004E271D" w:rsidTr="004E271D">
        <w:tc>
          <w:tcPr>
            <w:tcW w:w="4788" w:type="dxa"/>
          </w:tcPr>
          <w:p w:rsidR="004E271D" w:rsidRDefault="004E271D" w:rsidP="00F96F2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Rating </w:t>
            </w:r>
          </w:p>
        </w:tc>
        <w:tc>
          <w:tcPr>
            <w:tcW w:w="4788" w:type="dxa"/>
          </w:tcPr>
          <w:p w:rsidR="004E271D" w:rsidRDefault="004E271D" w:rsidP="00F96F2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Score per body weight </w:t>
            </w:r>
          </w:p>
        </w:tc>
      </w:tr>
      <w:tr w:rsidR="004E271D" w:rsidTr="004E271D">
        <w:tc>
          <w:tcPr>
            <w:tcW w:w="4788" w:type="dxa"/>
          </w:tcPr>
          <w:p w:rsidR="004E271D" w:rsidRPr="004E271D" w:rsidRDefault="004E271D" w:rsidP="00F96F2B">
            <w:pPr>
              <w:spacing w:line="480" w:lineRule="auto"/>
              <w:jc w:val="both"/>
              <w:rPr>
                <w:rFonts w:ascii="Times New Roman" w:hAnsi="Times New Roman" w:cs="Times New Roman"/>
                <w:sz w:val="24"/>
                <w:szCs w:val="24"/>
              </w:rPr>
            </w:pPr>
            <w:r w:rsidRPr="004E271D">
              <w:rPr>
                <w:rFonts w:ascii="Times New Roman" w:hAnsi="Times New Roman" w:cs="Times New Roman"/>
                <w:sz w:val="24"/>
                <w:szCs w:val="24"/>
              </w:rPr>
              <w:t xml:space="preserve">Excellent </w:t>
            </w:r>
          </w:p>
        </w:tc>
        <w:tc>
          <w:tcPr>
            <w:tcW w:w="4788" w:type="dxa"/>
          </w:tcPr>
          <w:p w:rsidR="004E271D" w:rsidRPr="00941E34" w:rsidRDefault="004E271D" w:rsidP="00F96F2B">
            <w:pPr>
              <w:spacing w:line="480" w:lineRule="auto"/>
              <w:jc w:val="both"/>
              <w:rPr>
                <w:rFonts w:ascii="Times New Roman" w:hAnsi="Times New Roman" w:cs="Times New Roman"/>
                <w:sz w:val="24"/>
                <w:szCs w:val="24"/>
              </w:rPr>
            </w:pPr>
            <w:r w:rsidRPr="00941E34">
              <w:rPr>
                <w:rFonts w:ascii="Times New Roman" w:hAnsi="Times New Roman" w:cs="Times New Roman"/>
                <w:sz w:val="24"/>
                <w:szCs w:val="24"/>
              </w:rPr>
              <w:t>&gt;1.60</w:t>
            </w:r>
          </w:p>
        </w:tc>
      </w:tr>
      <w:tr w:rsidR="004E271D" w:rsidTr="004E271D">
        <w:tc>
          <w:tcPr>
            <w:tcW w:w="4788" w:type="dxa"/>
          </w:tcPr>
          <w:p w:rsidR="004E271D" w:rsidRPr="004E271D" w:rsidRDefault="004E271D" w:rsidP="00F96F2B">
            <w:pPr>
              <w:spacing w:line="480" w:lineRule="auto"/>
              <w:jc w:val="both"/>
              <w:rPr>
                <w:rFonts w:ascii="Times New Roman" w:hAnsi="Times New Roman" w:cs="Times New Roman"/>
                <w:sz w:val="24"/>
                <w:szCs w:val="24"/>
              </w:rPr>
            </w:pPr>
            <w:r w:rsidRPr="004E271D">
              <w:rPr>
                <w:rFonts w:ascii="Times New Roman" w:hAnsi="Times New Roman" w:cs="Times New Roman"/>
                <w:sz w:val="24"/>
                <w:szCs w:val="24"/>
              </w:rPr>
              <w:t xml:space="preserve">Good </w:t>
            </w:r>
          </w:p>
        </w:tc>
        <w:tc>
          <w:tcPr>
            <w:tcW w:w="4788" w:type="dxa"/>
          </w:tcPr>
          <w:p w:rsidR="004E271D" w:rsidRPr="00941E34" w:rsidRDefault="004E271D" w:rsidP="00F96F2B">
            <w:pPr>
              <w:spacing w:line="480" w:lineRule="auto"/>
              <w:jc w:val="both"/>
              <w:rPr>
                <w:rFonts w:ascii="Times New Roman" w:hAnsi="Times New Roman" w:cs="Times New Roman"/>
                <w:sz w:val="24"/>
                <w:szCs w:val="24"/>
              </w:rPr>
            </w:pPr>
            <w:r w:rsidRPr="00941E34">
              <w:rPr>
                <w:rFonts w:ascii="Times New Roman" w:hAnsi="Times New Roman" w:cs="Times New Roman"/>
                <w:sz w:val="24"/>
                <w:szCs w:val="24"/>
              </w:rPr>
              <w:t>1.30-1.60</w:t>
            </w:r>
          </w:p>
        </w:tc>
      </w:tr>
      <w:tr w:rsidR="004E271D" w:rsidTr="004E271D">
        <w:tc>
          <w:tcPr>
            <w:tcW w:w="4788" w:type="dxa"/>
          </w:tcPr>
          <w:p w:rsidR="004E271D" w:rsidRPr="004E271D" w:rsidRDefault="004E271D" w:rsidP="00F96F2B">
            <w:pPr>
              <w:spacing w:line="480" w:lineRule="auto"/>
              <w:jc w:val="both"/>
              <w:rPr>
                <w:rFonts w:ascii="Times New Roman" w:hAnsi="Times New Roman" w:cs="Times New Roman"/>
                <w:sz w:val="24"/>
                <w:szCs w:val="24"/>
              </w:rPr>
            </w:pPr>
            <w:r w:rsidRPr="004E271D">
              <w:rPr>
                <w:rFonts w:ascii="Times New Roman" w:hAnsi="Times New Roman" w:cs="Times New Roman"/>
                <w:sz w:val="24"/>
                <w:szCs w:val="24"/>
              </w:rPr>
              <w:t xml:space="preserve">Average </w:t>
            </w:r>
          </w:p>
        </w:tc>
        <w:tc>
          <w:tcPr>
            <w:tcW w:w="4788" w:type="dxa"/>
          </w:tcPr>
          <w:p w:rsidR="004E271D" w:rsidRPr="00941E34" w:rsidRDefault="004E271D" w:rsidP="00F96F2B">
            <w:pPr>
              <w:spacing w:line="480" w:lineRule="auto"/>
              <w:jc w:val="both"/>
              <w:rPr>
                <w:rFonts w:ascii="Times New Roman" w:hAnsi="Times New Roman" w:cs="Times New Roman"/>
                <w:sz w:val="24"/>
                <w:szCs w:val="24"/>
              </w:rPr>
            </w:pPr>
            <w:r w:rsidRPr="00941E34">
              <w:rPr>
                <w:rFonts w:ascii="Times New Roman" w:hAnsi="Times New Roman" w:cs="Times New Roman"/>
                <w:sz w:val="24"/>
                <w:szCs w:val="24"/>
              </w:rPr>
              <w:t>1.15-1.29</w:t>
            </w:r>
          </w:p>
        </w:tc>
      </w:tr>
      <w:tr w:rsidR="004E271D" w:rsidTr="004E271D">
        <w:tc>
          <w:tcPr>
            <w:tcW w:w="4788" w:type="dxa"/>
          </w:tcPr>
          <w:p w:rsidR="004E271D" w:rsidRPr="004E271D" w:rsidRDefault="004E271D" w:rsidP="00F96F2B">
            <w:pPr>
              <w:spacing w:line="480" w:lineRule="auto"/>
              <w:jc w:val="both"/>
              <w:rPr>
                <w:rFonts w:ascii="Times New Roman" w:hAnsi="Times New Roman" w:cs="Times New Roman"/>
                <w:sz w:val="24"/>
                <w:szCs w:val="24"/>
              </w:rPr>
            </w:pPr>
            <w:r w:rsidRPr="004E271D">
              <w:rPr>
                <w:rFonts w:ascii="Times New Roman" w:hAnsi="Times New Roman" w:cs="Times New Roman"/>
                <w:sz w:val="24"/>
                <w:szCs w:val="24"/>
              </w:rPr>
              <w:t xml:space="preserve">Below average </w:t>
            </w:r>
          </w:p>
        </w:tc>
        <w:tc>
          <w:tcPr>
            <w:tcW w:w="4788" w:type="dxa"/>
          </w:tcPr>
          <w:p w:rsidR="004E271D" w:rsidRPr="00941E34" w:rsidRDefault="004E271D" w:rsidP="00F96F2B">
            <w:pPr>
              <w:spacing w:line="480" w:lineRule="auto"/>
              <w:jc w:val="both"/>
              <w:rPr>
                <w:rFonts w:ascii="Times New Roman" w:hAnsi="Times New Roman" w:cs="Times New Roman"/>
                <w:sz w:val="24"/>
                <w:szCs w:val="24"/>
              </w:rPr>
            </w:pPr>
            <w:r w:rsidRPr="00941E34">
              <w:rPr>
                <w:rFonts w:ascii="Times New Roman" w:hAnsi="Times New Roman" w:cs="Times New Roman"/>
                <w:sz w:val="24"/>
                <w:szCs w:val="24"/>
              </w:rPr>
              <w:t>1.00-1.14</w:t>
            </w:r>
          </w:p>
        </w:tc>
      </w:tr>
      <w:tr w:rsidR="004E271D" w:rsidTr="004E271D">
        <w:tc>
          <w:tcPr>
            <w:tcW w:w="4788" w:type="dxa"/>
          </w:tcPr>
          <w:p w:rsidR="004E271D" w:rsidRPr="004E271D" w:rsidRDefault="004E271D" w:rsidP="00F96F2B">
            <w:pPr>
              <w:spacing w:line="480" w:lineRule="auto"/>
              <w:jc w:val="both"/>
              <w:rPr>
                <w:rFonts w:ascii="Times New Roman" w:hAnsi="Times New Roman" w:cs="Times New Roman"/>
                <w:sz w:val="24"/>
                <w:szCs w:val="24"/>
              </w:rPr>
            </w:pPr>
            <w:r w:rsidRPr="004E271D">
              <w:rPr>
                <w:rFonts w:ascii="Times New Roman" w:hAnsi="Times New Roman" w:cs="Times New Roman"/>
                <w:sz w:val="24"/>
                <w:szCs w:val="24"/>
              </w:rPr>
              <w:lastRenderedPageBreak/>
              <w:t>Poor</w:t>
            </w:r>
          </w:p>
        </w:tc>
        <w:tc>
          <w:tcPr>
            <w:tcW w:w="4788" w:type="dxa"/>
          </w:tcPr>
          <w:p w:rsidR="004E271D" w:rsidRPr="00941E34" w:rsidRDefault="004E271D" w:rsidP="00F96F2B">
            <w:pPr>
              <w:spacing w:line="480" w:lineRule="auto"/>
              <w:jc w:val="both"/>
              <w:rPr>
                <w:rFonts w:ascii="Times New Roman" w:hAnsi="Times New Roman" w:cs="Times New Roman"/>
                <w:sz w:val="24"/>
                <w:szCs w:val="24"/>
              </w:rPr>
            </w:pPr>
            <w:r w:rsidRPr="00941E34">
              <w:rPr>
                <w:rFonts w:ascii="Times New Roman" w:hAnsi="Times New Roman" w:cs="Times New Roman"/>
                <w:sz w:val="24"/>
                <w:szCs w:val="24"/>
              </w:rPr>
              <w:t>0.91-0.99</w:t>
            </w:r>
          </w:p>
        </w:tc>
      </w:tr>
      <w:tr w:rsidR="004E271D" w:rsidTr="004E271D">
        <w:tc>
          <w:tcPr>
            <w:tcW w:w="4788" w:type="dxa"/>
          </w:tcPr>
          <w:p w:rsidR="004E271D" w:rsidRPr="004E271D" w:rsidRDefault="004E271D" w:rsidP="00F96F2B">
            <w:pPr>
              <w:spacing w:line="480" w:lineRule="auto"/>
              <w:jc w:val="both"/>
              <w:rPr>
                <w:rFonts w:ascii="Times New Roman" w:hAnsi="Times New Roman" w:cs="Times New Roman"/>
                <w:sz w:val="24"/>
                <w:szCs w:val="24"/>
              </w:rPr>
            </w:pPr>
            <w:r w:rsidRPr="004E271D">
              <w:rPr>
                <w:rFonts w:ascii="Times New Roman" w:hAnsi="Times New Roman" w:cs="Times New Roman"/>
                <w:sz w:val="24"/>
                <w:szCs w:val="24"/>
              </w:rPr>
              <w:t>Very poor</w:t>
            </w:r>
          </w:p>
        </w:tc>
        <w:tc>
          <w:tcPr>
            <w:tcW w:w="4788" w:type="dxa"/>
          </w:tcPr>
          <w:p w:rsidR="004E271D" w:rsidRPr="00941E34" w:rsidRDefault="004E271D" w:rsidP="00F96F2B">
            <w:pPr>
              <w:spacing w:line="480" w:lineRule="auto"/>
              <w:jc w:val="both"/>
              <w:rPr>
                <w:rFonts w:ascii="Times New Roman" w:hAnsi="Times New Roman" w:cs="Times New Roman"/>
                <w:sz w:val="24"/>
                <w:szCs w:val="24"/>
              </w:rPr>
            </w:pPr>
            <w:r w:rsidRPr="00941E34">
              <w:rPr>
                <w:rFonts w:ascii="Times New Roman" w:hAnsi="Times New Roman" w:cs="Times New Roman"/>
                <w:sz w:val="24"/>
                <w:szCs w:val="24"/>
              </w:rPr>
              <w:t>&lt;0.09</w:t>
            </w:r>
          </w:p>
        </w:tc>
      </w:tr>
    </w:tbl>
    <w:p w:rsidR="0074428C" w:rsidRDefault="0074428C" w:rsidP="00F96F2B">
      <w:pPr>
        <w:spacing w:line="480" w:lineRule="auto"/>
        <w:jc w:val="both"/>
        <w:rPr>
          <w:rFonts w:ascii="Times New Roman" w:hAnsi="Times New Roman" w:cs="Times New Roman"/>
          <w:b/>
          <w:sz w:val="24"/>
          <w:szCs w:val="24"/>
        </w:rPr>
      </w:pPr>
      <w:r>
        <w:rPr>
          <w:rFonts w:ascii="Times New Roman" w:hAnsi="Times New Roman" w:cs="Times New Roman"/>
          <w:b/>
          <w:sz w:val="24"/>
          <w:szCs w:val="24"/>
        </w:rPr>
        <w:t>According to the findings, the client has good strength (1.50)</w:t>
      </w: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p>
    <w:p w:rsidR="00252E64" w:rsidRDefault="00252E64" w:rsidP="00F96F2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w:t>
      </w:r>
    </w:p>
    <w:p w:rsidR="00216B0B" w:rsidRDefault="00216B0B" w:rsidP="00216B0B">
      <w:pPr>
        <w:spacing w:after="100" w:afterAutospacing="1" w:line="480" w:lineRule="auto"/>
        <w:ind w:left="720" w:hanging="720"/>
        <w:jc w:val="both"/>
        <w:rPr>
          <w:rFonts w:ascii="Times New Roman" w:hAnsi="Times New Roman" w:cs="Times New Roman"/>
          <w:b/>
          <w:sz w:val="24"/>
          <w:szCs w:val="24"/>
        </w:rPr>
      </w:pPr>
      <w:proofErr w:type="gramStart"/>
      <w:r w:rsidRPr="009B5891">
        <w:rPr>
          <w:rFonts w:ascii="Times New Roman" w:hAnsi="Times New Roman" w:cs="Times New Roman"/>
          <w:color w:val="222222"/>
          <w:sz w:val="24"/>
          <w:szCs w:val="24"/>
          <w:shd w:val="clear" w:color="auto" w:fill="FFFFFF"/>
        </w:rPr>
        <w:t>Kim, S. J., Park, J. H., &amp; Yoon, W. Y. (2018).</w:t>
      </w:r>
      <w:proofErr w:type="gramEnd"/>
      <w:r w:rsidRPr="009B5891">
        <w:rPr>
          <w:rFonts w:ascii="Times New Roman" w:hAnsi="Times New Roman" w:cs="Times New Roman"/>
          <w:color w:val="222222"/>
          <w:sz w:val="24"/>
          <w:szCs w:val="24"/>
          <w:shd w:val="clear" w:color="auto" w:fill="FFFFFF"/>
        </w:rPr>
        <w:t xml:space="preserve"> </w:t>
      </w:r>
      <w:proofErr w:type="gramStart"/>
      <w:r w:rsidRPr="009B5891">
        <w:rPr>
          <w:rFonts w:ascii="Times New Roman" w:hAnsi="Times New Roman" w:cs="Times New Roman"/>
          <w:color w:val="222222"/>
          <w:sz w:val="24"/>
          <w:szCs w:val="24"/>
          <w:shd w:val="clear" w:color="auto" w:fill="FFFFFF"/>
        </w:rPr>
        <w:t>Analysis of asymmetric pelvic shift in the overhead squat assessment of patients with chronic low back pain.</w:t>
      </w:r>
      <w:proofErr w:type="gramEnd"/>
      <w:r w:rsidRPr="009B5891">
        <w:rPr>
          <w:rFonts w:ascii="Times New Roman" w:hAnsi="Times New Roman" w:cs="Times New Roman"/>
          <w:color w:val="222222"/>
          <w:sz w:val="24"/>
          <w:szCs w:val="24"/>
          <w:shd w:val="clear" w:color="auto" w:fill="FFFFFF"/>
        </w:rPr>
        <w:t> </w:t>
      </w:r>
      <w:r w:rsidRPr="009B5891">
        <w:rPr>
          <w:rFonts w:ascii="Times New Roman" w:hAnsi="Times New Roman" w:cs="Times New Roman"/>
          <w:i/>
          <w:iCs/>
          <w:color w:val="222222"/>
          <w:sz w:val="24"/>
          <w:szCs w:val="24"/>
          <w:shd w:val="clear" w:color="auto" w:fill="FFFFFF"/>
        </w:rPr>
        <w:t>Indian Journal of Public Health Research &amp; Development</w:t>
      </w:r>
      <w:r w:rsidRPr="009B5891">
        <w:rPr>
          <w:rFonts w:ascii="Times New Roman" w:hAnsi="Times New Roman" w:cs="Times New Roman"/>
          <w:color w:val="222222"/>
          <w:sz w:val="24"/>
          <w:szCs w:val="24"/>
          <w:shd w:val="clear" w:color="auto" w:fill="FFFFFF"/>
        </w:rPr>
        <w:t>, </w:t>
      </w:r>
      <w:r w:rsidRPr="009B5891">
        <w:rPr>
          <w:rFonts w:ascii="Times New Roman" w:hAnsi="Times New Roman" w:cs="Times New Roman"/>
          <w:i/>
          <w:iCs/>
          <w:color w:val="222222"/>
          <w:sz w:val="24"/>
          <w:szCs w:val="24"/>
          <w:shd w:val="clear" w:color="auto" w:fill="FFFFFF"/>
        </w:rPr>
        <w:t>9</w:t>
      </w:r>
      <w:r w:rsidRPr="009B5891">
        <w:rPr>
          <w:rFonts w:ascii="Times New Roman" w:hAnsi="Times New Roman" w:cs="Times New Roman"/>
          <w:color w:val="222222"/>
          <w:sz w:val="24"/>
          <w:szCs w:val="24"/>
          <w:shd w:val="clear" w:color="auto" w:fill="FFFFFF"/>
        </w:rPr>
        <w:t>(9), 991-995</w:t>
      </w:r>
      <w:r>
        <w:rPr>
          <w:rFonts w:ascii="Arial" w:hAnsi="Arial" w:cs="Arial"/>
          <w:color w:val="222222"/>
          <w:sz w:val="20"/>
          <w:szCs w:val="20"/>
          <w:shd w:val="clear" w:color="auto" w:fill="FFFFFF"/>
        </w:rPr>
        <w:t>.</w:t>
      </w:r>
    </w:p>
    <w:p w:rsidR="00216B0B" w:rsidRDefault="00216B0B" w:rsidP="00216B0B">
      <w:pPr>
        <w:spacing w:after="100" w:afterAutospacing="1" w:line="480" w:lineRule="auto"/>
        <w:ind w:left="720" w:hanging="720"/>
        <w:jc w:val="both"/>
        <w:rPr>
          <w:rFonts w:ascii="Times New Roman" w:hAnsi="Times New Roman" w:cs="Times New Roman"/>
          <w:color w:val="222222"/>
          <w:sz w:val="24"/>
          <w:szCs w:val="24"/>
          <w:shd w:val="clear" w:color="auto" w:fill="FFFFFF"/>
        </w:rPr>
      </w:pPr>
      <w:proofErr w:type="gramStart"/>
      <w:r w:rsidRPr="00C9369D">
        <w:rPr>
          <w:rFonts w:ascii="Times New Roman" w:hAnsi="Times New Roman" w:cs="Times New Roman"/>
          <w:color w:val="222222"/>
          <w:sz w:val="24"/>
          <w:szCs w:val="24"/>
          <w:shd w:val="clear" w:color="auto" w:fill="FFFFFF"/>
        </w:rPr>
        <w:t xml:space="preserve">Martin, C., Sorel, A., </w:t>
      </w:r>
      <w:proofErr w:type="spellStart"/>
      <w:r w:rsidRPr="00C9369D">
        <w:rPr>
          <w:rFonts w:ascii="Times New Roman" w:hAnsi="Times New Roman" w:cs="Times New Roman"/>
          <w:color w:val="222222"/>
          <w:sz w:val="24"/>
          <w:szCs w:val="24"/>
          <w:shd w:val="clear" w:color="auto" w:fill="FFFFFF"/>
        </w:rPr>
        <w:t>Touzard</w:t>
      </w:r>
      <w:proofErr w:type="spellEnd"/>
      <w:r w:rsidRPr="00C9369D">
        <w:rPr>
          <w:rFonts w:ascii="Times New Roman" w:hAnsi="Times New Roman" w:cs="Times New Roman"/>
          <w:color w:val="222222"/>
          <w:sz w:val="24"/>
          <w:szCs w:val="24"/>
          <w:shd w:val="clear" w:color="auto" w:fill="FFFFFF"/>
        </w:rPr>
        <w:t xml:space="preserve">, P., </w:t>
      </w:r>
      <w:proofErr w:type="spellStart"/>
      <w:r w:rsidRPr="00C9369D">
        <w:rPr>
          <w:rFonts w:ascii="Times New Roman" w:hAnsi="Times New Roman" w:cs="Times New Roman"/>
          <w:color w:val="222222"/>
          <w:sz w:val="24"/>
          <w:szCs w:val="24"/>
          <w:shd w:val="clear" w:color="auto" w:fill="FFFFFF"/>
        </w:rPr>
        <w:t>Bideau</w:t>
      </w:r>
      <w:proofErr w:type="spellEnd"/>
      <w:r w:rsidRPr="00C9369D">
        <w:rPr>
          <w:rFonts w:ascii="Times New Roman" w:hAnsi="Times New Roman" w:cs="Times New Roman"/>
          <w:color w:val="222222"/>
          <w:sz w:val="24"/>
          <w:szCs w:val="24"/>
          <w:shd w:val="clear" w:color="auto" w:fill="FFFFFF"/>
        </w:rPr>
        <w:t xml:space="preserve">, B., </w:t>
      </w:r>
      <w:proofErr w:type="spellStart"/>
      <w:r w:rsidRPr="00C9369D">
        <w:rPr>
          <w:rFonts w:ascii="Times New Roman" w:hAnsi="Times New Roman" w:cs="Times New Roman"/>
          <w:color w:val="222222"/>
          <w:sz w:val="24"/>
          <w:szCs w:val="24"/>
          <w:shd w:val="clear" w:color="auto" w:fill="FFFFFF"/>
        </w:rPr>
        <w:t>Gaborit</w:t>
      </w:r>
      <w:proofErr w:type="spellEnd"/>
      <w:r w:rsidRPr="00C9369D">
        <w:rPr>
          <w:rFonts w:ascii="Times New Roman" w:hAnsi="Times New Roman" w:cs="Times New Roman"/>
          <w:color w:val="222222"/>
          <w:sz w:val="24"/>
          <w:szCs w:val="24"/>
          <w:shd w:val="clear" w:color="auto" w:fill="FFFFFF"/>
        </w:rPr>
        <w:t xml:space="preserve">, R., </w:t>
      </w:r>
      <w:proofErr w:type="spellStart"/>
      <w:r w:rsidRPr="00C9369D">
        <w:rPr>
          <w:rFonts w:ascii="Times New Roman" w:hAnsi="Times New Roman" w:cs="Times New Roman"/>
          <w:color w:val="222222"/>
          <w:sz w:val="24"/>
          <w:szCs w:val="24"/>
          <w:shd w:val="clear" w:color="auto" w:fill="FFFFFF"/>
        </w:rPr>
        <w:t>DeGroot</w:t>
      </w:r>
      <w:proofErr w:type="spellEnd"/>
      <w:r w:rsidRPr="00C9369D">
        <w:rPr>
          <w:rFonts w:ascii="Times New Roman" w:hAnsi="Times New Roman" w:cs="Times New Roman"/>
          <w:color w:val="222222"/>
          <w:sz w:val="24"/>
          <w:szCs w:val="24"/>
          <w:shd w:val="clear" w:color="auto" w:fill="FFFFFF"/>
        </w:rPr>
        <w:t xml:space="preserve">, H., &amp; </w:t>
      </w:r>
      <w:proofErr w:type="spellStart"/>
      <w:r w:rsidRPr="00C9369D">
        <w:rPr>
          <w:rFonts w:ascii="Times New Roman" w:hAnsi="Times New Roman" w:cs="Times New Roman"/>
          <w:color w:val="222222"/>
          <w:sz w:val="24"/>
          <w:szCs w:val="24"/>
          <w:shd w:val="clear" w:color="auto" w:fill="FFFFFF"/>
        </w:rPr>
        <w:t>Kulpa</w:t>
      </w:r>
      <w:proofErr w:type="spellEnd"/>
      <w:r w:rsidRPr="00C9369D">
        <w:rPr>
          <w:rFonts w:ascii="Times New Roman" w:hAnsi="Times New Roman" w:cs="Times New Roman"/>
          <w:color w:val="222222"/>
          <w:sz w:val="24"/>
          <w:szCs w:val="24"/>
          <w:shd w:val="clear" w:color="auto" w:fill="FFFFFF"/>
        </w:rPr>
        <w:t>, R. (2020).</w:t>
      </w:r>
      <w:proofErr w:type="gramEnd"/>
      <w:r w:rsidRPr="00C9369D">
        <w:rPr>
          <w:rFonts w:ascii="Times New Roman" w:hAnsi="Times New Roman" w:cs="Times New Roman"/>
          <w:color w:val="222222"/>
          <w:sz w:val="24"/>
          <w:szCs w:val="24"/>
          <w:shd w:val="clear" w:color="auto" w:fill="FFFFFF"/>
        </w:rPr>
        <w:t xml:space="preserve"> Influence of the forehand stance on knee biomechanics: Implications for potential injury risks in tennis players. </w:t>
      </w:r>
      <w:proofErr w:type="gramStart"/>
      <w:r w:rsidRPr="00C9369D">
        <w:rPr>
          <w:rFonts w:ascii="Times New Roman" w:hAnsi="Times New Roman" w:cs="Times New Roman"/>
          <w:i/>
          <w:iCs/>
          <w:color w:val="222222"/>
          <w:sz w:val="24"/>
          <w:szCs w:val="24"/>
          <w:shd w:val="clear" w:color="auto" w:fill="FFFFFF"/>
        </w:rPr>
        <w:t>Journal of sports sciences</w:t>
      </w:r>
      <w:r w:rsidRPr="00C9369D">
        <w:rPr>
          <w:rFonts w:ascii="Times New Roman" w:hAnsi="Times New Roman" w:cs="Times New Roman"/>
          <w:color w:val="222222"/>
          <w:sz w:val="24"/>
          <w:szCs w:val="24"/>
          <w:shd w:val="clear" w:color="auto" w:fill="FFFFFF"/>
        </w:rPr>
        <w:t>, 1-9.</w:t>
      </w:r>
      <w:proofErr w:type="gramEnd"/>
    </w:p>
    <w:p w:rsidR="00216B0B" w:rsidRPr="00DD2860" w:rsidRDefault="00216B0B" w:rsidP="00216B0B">
      <w:pPr>
        <w:spacing w:after="100" w:afterAutospacing="1" w:line="480" w:lineRule="auto"/>
        <w:ind w:left="720" w:hanging="720"/>
        <w:jc w:val="both"/>
        <w:rPr>
          <w:rFonts w:ascii="Times New Roman" w:hAnsi="Times New Roman" w:cs="Times New Roman"/>
          <w:b/>
          <w:sz w:val="24"/>
          <w:szCs w:val="24"/>
        </w:rPr>
      </w:pPr>
      <w:r w:rsidRPr="00DD2860">
        <w:rPr>
          <w:rFonts w:ascii="Times New Roman" w:hAnsi="Times New Roman" w:cs="Times New Roman"/>
          <w:color w:val="222222"/>
          <w:sz w:val="24"/>
          <w:szCs w:val="24"/>
          <w:shd w:val="clear" w:color="auto" w:fill="FFFFFF"/>
        </w:rPr>
        <w:t xml:space="preserve">Watkins, C. M., Barillas, S. R., Wong, M. A., Archer, D. C., Dobbs, I. J., </w:t>
      </w:r>
      <w:proofErr w:type="spellStart"/>
      <w:r w:rsidRPr="00DD2860">
        <w:rPr>
          <w:rFonts w:ascii="Times New Roman" w:hAnsi="Times New Roman" w:cs="Times New Roman"/>
          <w:color w:val="222222"/>
          <w:sz w:val="24"/>
          <w:szCs w:val="24"/>
          <w:shd w:val="clear" w:color="auto" w:fill="FFFFFF"/>
        </w:rPr>
        <w:t>Lockie</w:t>
      </w:r>
      <w:proofErr w:type="spellEnd"/>
      <w:r w:rsidRPr="00DD2860">
        <w:rPr>
          <w:rFonts w:ascii="Times New Roman" w:hAnsi="Times New Roman" w:cs="Times New Roman"/>
          <w:color w:val="222222"/>
          <w:sz w:val="24"/>
          <w:szCs w:val="24"/>
          <w:shd w:val="clear" w:color="auto" w:fill="FFFFFF"/>
        </w:rPr>
        <w:t>, R. G</w:t>
      </w:r>
      <w:proofErr w:type="gramStart"/>
      <w:r w:rsidRPr="00DD2860">
        <w:rPr>
          <w:rFonts w:ascii="Times New Roman" w:hAnsi="Times New Roman" w:cs="Times New Roman"/>
          <w:color w:val="222222"/>
          <w:sz w:val="24"/>
          <w:szCs w:val="24"/>
          <w:shd w:val="clear" w:color="auto" w:fill="FFFFFF"/>
        </w:rPr>
        <w:t>., ...</w:t>
      </w:r>
      <w:proofErr w:type="gramEnd"/>
      <w:r w:rsidRPr="00DD2860">
        <w:rPr>
          <w:rFonts w:ascii="Times New Roman" w:hAnsi="Times New Roman" w:cs="Times New Roman"/>
          <w:color w:val="222222"/>
          <w:sz w:val="24"/>
          <w:szCs w:val="24"/>
          <w:shd w:val="clear" w:color="auto" w:fill="FFFFFF"/>
        </w:rPr>
        <w:t xml:space="preserve"> &amp; Brown, L. E. (2017). </w:t>
      </w:r>
      <w:proofErr w:type="gramStart"/>
      <w:r w:rsidRPr="00DD2860">
        <w:rPr>
          <w:rFonts w:ascii="Times New Roman" w:hAnsi="Times New Roman" w:cs="Times New Roman"/>
          <w:color w:val="222222"/>
          <w:sz w:val="24"/>
          <w:szCs w:val="24"/>
          <w:shd w:val="clear" w:color="auto" w:fill="FFFFFF"/>
        </w:rPr>
        <w:t>Determination of vertical jump as a measure of neuromuscular readiness and fatigue.</w:t>
      </w:r>
      <w:proofErr w:type="gramEnd"/>
      <w:r w:rsidRPr="00DD2860">
        <w:rPr>
          <w:rFonts w:ascii="Times New Roman" w:hAnsi="Times New Roman" w:cs="Times New Roman"/>
          <w:color w:val="222222"/>
          <w:sz w:val="24"/>
          <w:szCs w:val="24"/>
          <w:shd w:val="clear" w:color="auto" w:fill="FFFFFF"/>
        </w:rPr>
        <w:t> </w:t>
      </w:r>
      <w:r w:rsidRPr="00DD2860">
        <w:rPr>
          <w:rFonts w:ascii="Times New Roman" w:hAnsi="Times New Roman" w:cs="Times New Roman"/>
          <w:i/>
          <w:iCs/>
          <w:color w:val="222222"/>
          <w:sz w:val="24"/>
          <w:szCs w:val="24"/>
          <w:shd w:val="clear" w:color="auto" w:fill="FFFFFF"/>
        </w:rPr>
        <w:t>The Journal of Strength &amp; Conditioning Research</w:t>
      </w:r>
      <w:r w:rsidRPr="00DD2860">
        <w:rPr>
          <w:rFonts w:ascii="Times New Roman" w:hAnsi="Times New Roman" w:cs="Times New Roman"/>
          <w:color w:val="222222"/>
          <w:sz w:val="24"/>
          <w:szCs w:val="24"/>
          <w:shd w:val="clear" w:color="auto" w:fill="FFFFFF"/>
        </w:rPr>
        <w:t>, </w:t>
      </w:r>
      <w:r w:rsidRPr="00DD2860">
        <w:rPr>
          <w:rFonts w:ascii="Times New Roman" w:hAnsi="Times New Roman" w:cs="Times New Roman"/>
          <w:i/>
          <w:iCs/>
          <w:color w:val="222222"/>
          <w:sz w:val="24"/>
          <w:szCs w:val="24"/>
          <w:shd w:val="clear" w:color="auto" w:fill="FFFFFF"/>
        </w:rPr>
        <w:t>31</w:t>
      </w:r>
      <w:r w:rsidRPr="00DD2860">
        <w:rPr>
          <w:rFonts w:ascii="Times New Roman" w:hAnsi="Times New Roman" w:cs="Times New Roman"/>
          <w:color w:val="222222"/>
          <w:sz w:val="24"/>
          <w:szCs w:val="24"/>
          <w:shd w:val="clear" w:color="auto" w:fill="FFFFFF"/>
        </w:rPr>
        <w:t>(12), 3305-3310.</w:t>
      </w:r>
    </w:p>
    <w:sectPr w:rsidR="00216B0B" w:rsidRPr="00DD286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BB" w:rsidRDefault="00616EBB" w:rsidP="009F04B8">
      <w:pPr>
        <w:spacing w:after="0" w:line="240" w:lineRule="auto"/>
      </w:pPr>
      <w:r>
        <w:separator/>
      </w:r>
    </w:p>
  </w:endnote>
  <w:endnote w:type="continuationSeparator" w:id="0">
    <w:p w:rsidR="00616EBB" w:rsidRDefault="00616EBB" w:rsidP="009F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BB" w:rsidRDefault="00616EBB" w:rsidP="009F04B8">
      <w:pPr>
        <w:spacing w:after="0" w:line="240" w:lineRule="auto"/>
      </w:pPr>
      <w:r>
        <w:separator/>
      </w:r>
    </w:p>
  </w:footnote>
  <w:footnote w:type="continuationSeparator" w:id="0">
    <w:p w:rsidR="00616EBB" w:rsidRDefault="00616EBB" w:rsidP="009F0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996"/>
      <w:docPartObj>
        <w:docPartGallery w:val="Page Numbers (Top of Page)"/>
        <w:docPartUnique/>
      </w:docPartObj>
    </w:sdtPr>
    <w:sdtEndPr>
      <w:rPr>
        <w:noProof/>
      </w:rPr>
    </w:sdtEndPr>
    <w:sdtContent>
      <w:p w:rsidR="009F04B8" w:rsidRDefault="009F04B8">
        <w:pPr>
          <w:pStyle w:val="Header"/>
          <w:jc w:val="right"/>
        </w:pPr>
        <w:r>
          <w:fldChar w:fldCharType="begin"/>
        </w:r>
        <w:r>
          <w:instrText xml:space="preserve"> PAGE   \* MERGEFORMAT </w:instrText>
        </w:r>
        <w:r>
          <w:fldChar w:fldCharType="separate"/>
        </w:r>
        <w:r w:rsidR="008D523F">
          <w:rPr>
            <w:noProof/>
          </w:rPr>
          <w:t>3</w:t>
        </w:r>
        <w:r>
          <w:rPr>
            <w:noProof/>
          </w:rPr>
          <w:fldChar w:fldCharType="end"/>
        </w:r>
      </w:p>
    </w:sdtContent>
  </w:sdt>
  <w:p w:rsidR="009F04B8" w:rsidRDefault="009F0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B8"/>
    <w:rsid w:val="00017287"/>
    <w:rsid w:val="00021C02"/>
    <w:rsid w:val="00035003"/>
    <w:rsid w:val="00050094"/>
    <w:rsid w:val="00073D79"/>
    <w:rsid w:val="000F17C1"/>
    <w:rsid w:val="00152489"/>
    <w:rsid w:val="0016530D"/>
    <w:rsid w:val="001C7B23"/>
    <w:rsid w:val="00216B0B"/>
    <w:rsid w:val="00252E64"/>
    <w:rsid w:val="002550F3"/>
    <w:rsid w:val="00271D59"/>
    <w:rsid w:val="00364D01"/>
    <w:rsid w:val="003924B5"/>
    <w:rsid w:val="004139CE"/>
    <w:rsid w:val="004A411E"/>
    <w:rsid w:val="004C36AA"/>
    <w:rsid w:val="004D635D"/>
    <w:rsid w:val="004E271D"/>
    <w:rsid w:val="00531789"/>
    <w:rsid w:val="005C6678"/>
    <w:rsid w:val="00616EBB"/>
    <w:rsid w:val="0067014B"/>
    <w:rsid w:val="00674A03"/>
    <w:rsid w:val="006C20A8"/>
    <w:rsid w:val="007426B7"/>
    <w:rsid w:val="0074428C"/>
    <w:rsid w:val="0077159B"/>
    <w:rsid w:val="007E2F6D"/>
    <w:rsid w:val="008B207B"/>
    <w:rsid w:val="008D523F"/>
    <w:rsid w:val="008E3FF3"/>
    <w:rsid w:val="009040F5"/>
    <w:rsid w:val="00941E34"/>
    <w:rsid w:val="009B5891"/>
    <w:rsid w:val="009B5B7C"/>
    <w:rsid w:val="009E6A06"/>
    <w:rsid w:val="009F04B8"/>
    <w:rsid w:val="00A237FD"/>
    <w:rsid w:val="00A23CB1"/>
    <w:rsid w:val="00A30D94"/>
    <w:rsid w:val="00A53275"/>
    <w:rsid w:val="00A76FF1"/>
    <w:rsid w:val="00B62370"/>
    <w:rsid w:val="00BC28C6"/>
    <w:rsid w:val="00C039C5"/>
    <w:rsid w:val="00C14B14"/>
    <w:rsid w:val="00C9369D"/>
    <w:rsid w:val="00CA6127"/>
    <w:rsid w:val="00D72F81"/>
    <w:rsid w:val="00DD2860"/>
    <w:rsid w:val="00DE623A"/>
    <w:rsid w:val="00E45F68"/>
    <w:rsid w:val="00E871D7"/>
    <w:rsid w:val="00E9011C"/>
    <w:rsid w:val="00EC4AA6"/>
    <w:rsid w:val="00F7609E"/>
    <w:rsid w:val="00F9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8"/>
  </w:style>
  <w:style w:type="paragraph" w:styleId="Footer">
    <w:name w:val="footer"/>
    <w:basedOn w:val="Normal"/>
    <w:link w:val="FooterChar"/>
    <w:uiPriority w:val="99"/>
    <w:unhideWhenUsed/>
    <w:rsid w:val="009F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8"/>
  </w:style>
  <w:style w:type="table" w:styleId="TableGrid">
    <w:name w:val="Table Grid"/>
    <w:basedOn w:val="TableNormal"/>
    <w:uiPriority w:val="59"/>
    <w:rsid w:val="0067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27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8"/>
  </w:style>
  <w:style w:type="paragraph" w:styleId="Footer">
    <w:name w:val="footer"/>
    <w:basedOn w:val="Normal"/>
    <w:link w:val="FooterChar"/>
    <w:uiPriority w:val="99"/>
    <w:unhideWhenUsed/>
    <w:rsid w:val="009F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8"/>
  </w:style>
  <w:style w:type="table" w:styleId="TableGrid">
    <w:name w:val="Table Grid"/>
    <w:basedOn w:val="TableNormal"/>
    <w:uiPriority w:val="59"/>
    <w:rsid w:val="0067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2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Phiona</dc:creator>
  <cp:lastModifiedBy>Phiona</cp:lastModifiedBy>
  <cp:revision>54</cp:revision>
  <dcterms:created xsi:type="dcterms:W3CDTF">2021-05-01T04:32:00Z</dcterms:created>
  <dcterms:modified xsi:type="dcterms:W3CDTF">2021-05-01T21:13:00Z</dcterms:modified>
</cp:coreProperties>
</file>