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3A5" w:rsidRDefault="00E855C5" w:rsidP="00E855C5">
      <w:pPr>
        <w:jc w:val="center"/>
        <w:rPr>
          <w:b/>
          <w:sz w:val="32"/>
          <w:szCs w:val="32"/>
          <w:lang w:val="fr-FR"/>
        </w:rPr>
      </w:pPr>
      <w:r>
        <w:rPr>
          <w:b/>
          <w:sz w:val="32"/>
          <w:szCs w:val="32"/>
          <w:lang w:val="fr-FR"/>
        </w:rPr>
        <w:t xml:space="preserve">FACEBOOK: </w:t>
      </w:r>
      <w:r w:rsidRPr="00E855C5">
        <w:rPr>
          <w:b/>
          <w:sz w:val="32"/>
          <w:szCs w:val="32"/>
          <w:lang w:val="fr-FR"/>
        </w:rPr>
        <w:t>Financial Ratios</w:t>
      </w:r>
    </w:p>
    <w:p w:rsidR="00E855C5" w:rsidRDefault="00E855C5" w:rsidP="00E855C5">
      <w:pPr>
        <w:rPr>
          <w:b/>
          <w:sz w:val="28"/>
          <w:szCs w:val="28"/>
          <w:lang w:val="fr-FR"/>
        </w:rPr>
      </w:pPr>
      <w:r>
        <w:rPr>
          <w:b/>
          <w:sz w:val="28"/>
          <w:szCs w:val="28"/>
          <w:lang w:val="fr-FR"/>
        </w:rPr>
        <w:t>Financial Ratios : Historial Comparaisons</w:t>
      </w:r>
    </w:p>
    <w:tbl>
      <w:tblPr>
        <w:tblW w:w="10350" w:type="dxa"/>
        <w:tblLayout w:type="fixed"/>
        <w:tblCellMar>
          <w:left w:w="0" w:type="dxa"/>
          <w:right w:w="0" w:type="dxa"/>
        </w:tblCellMar>
        <w:tblLook w:val="04A0" w:firstRow="1" w:lastRow="0" w:firstColumn="1" w:lastColumn="0" w:noHBand="0" w:noVBand="1"/>
      </w:tblPr>
      <w:tblGrid>
        <w:gridCol w:w="2672"/>
        <w:gridCol w:w="2009"/>
        <w:gridCol w:w="2052"/>
        <w:gridCol w:w="2047"/>
        <w:gridCol w:w="1570"/>
      </w:tblGrid>
      <w:tr w:rsidR="00E855C5" w:rsidTr="00E855C5">
        <w:trPr>
          <w:trHeight w:val="255"/>
        </w:trPr>
        <w:tc>
          <w:tcPr>
            <w:tcW w:w="4681" w:type="dxa"/>
            <w:gridSpan w:val="2"/>
            <w:tcMar>
              <w:top w:w="15" w:type="dxa"/>
              <w:left w:w="15" w:type="dxa"/>
              <w:bottom w:w="0" w:type="dxa"/>
              <w:right w:w="15" w:type="dxa"/>
            </w:tcMar>
            <w:vAlign w:val="bottom"/>
            <w:hideMark/>
          </w:tcPr>
          <w:p w:rsidR="00E855C5" w:rsidRDefault="00E855C5">
            <w:pPr>
              <w:rPr>
                <w:rFonts w:ascii="Arial" w:hAnsi="Arial" w:cs="Arial"/>
                <w:b/>
                <w:bCs/>
                <w:sz w:val="20"/>
                <w:szCs w:val="20"/>
              </w:rPr>
            </w:pPr>
            <w:r>
              <w:rPr>
                <w:rFonts w:ascii="Arial" w:hAnsi="Arial" w:cs="Arial"/>
                <w:b/>
                <w:bCs/>
                <w:sz w:val="20"/>
                <w:szCs w:val="20"/>
              </w:rPr>
              <w:t>Financial Ratios: Historical Comparison</w:t>
            </w:r>
          </w:p>
          <w:p w:rsidR="00E855C5" w:rsidRDefault="00E855C5">
            <w:pPr>
              <w:rPr>
                <w:rFonts w:ascii="Arial" w:eastAsia="Arial Unicode MS" w:hAnsi="Arial" w:cs="Arial"/>
                <w:b/>
                <w:bCs/>
                <w:sz w:val="20"/>
                <w:szCs w:val="20"/>
              </w:rPr>
            </w:pPr>
            <w:r>
              <w:rPr>
                <w:rFonts w:ascii="Arial" w:hAnsi="Arial" w:cs="Arial"/>
                <w:b/>
                <w:bCs/>
                <w:sz w:val="20"/>
                <w:szCs w:val="20"/>
              </w:rPr>
              <w:t>(Citation)</w:t>
            </w:r>
          </w:p>
        </w:tc>
        <w:tc>
          <w:tcPr>
            <w:tcW w:w="2052" w:type="dxa"/>
            <w:tcMar>
              <w:top w:w="15" w:type="dxa"/>
              <w:left w:w="15" w:type="dxa"/>
              <w:bottom w:w="0" w:type="dxa"/>
              <w:right w:w="15" w:type="dxa"/>
            </w:tcMar>
            <w:vAlign w:val="bottom"/>
          </w:tcPr>
          <w:p w:rsidR="00E855C5" w:rsidRDefault="00E855C5">
            <w:pPr>
              <w:jc w:val="center"/>
              <w:rPr>
                <w:rFonts w:ascii="Arial" w:eastAsia="Arial Unicode MS" w:hAnsi="Arial" w:cs="Arial"/>
                <w:b/>
                <w:bCs/>
                <w:sz w:val="20"/>
                <w:szCs w:val="20"/>
              </w:rPr>
            </w:pPr>
          </w:p>
        </w:tc>
        <w:tc>
          <w:tcPr>
            <w:tcW w:w="2047" w:type="dxa"/>
            <w:tcMar>
              <w:top w:w="15" w:type="dxa"/>
              <w:left w:w="15" w:type="dxa"/>
              <w:bottom w:w="0" w:type="dxa"/>
              <w:right w:w="15" w:type="dxa"/>
            </w:tcMar>
            <w:vAlign w:val="bottom"/>
          </w:tcPr>
          <w:p w:rsidR="00E855C5" w:rsidRDefault="00E855C5">
            <w:pPr>
              <w:jc w:val="center"/>
              <w:rPr>
                <w:rFonts w:ascii="Arial" w:eastAsia="Arial Unicode MS" w:hAnsi="Arial" w:cs="Arial"/>
                <w:b/>
                <w:bCs/>
                <w:sz w:val="20"/>
                <w:szCs w:val="20"/>
              </w:rPr>
            </w:pPr>
          </w:p>
        </w:tc>
        <w:tc>
          <w:tcPr>
            <w:tcW w:w="1570" w:type="dxa"/>
            <w:tcMar>
              <w:top w:w="15" w:type="dxa"/>
              <w:left w:w="15" w:type="dxa"/>
              <w:bottom w:w="0" w:type="dxa"/>
              <w:right w:w="15" w:type="dxa"/>
            </w:tcMar>
            <w:vAlign w:val="bottom"/>
          </w:tcPr>
          <w:p w:rsidR="00E855C5" w:rsidRDefault="00E855C5">
            <w:pPr>
              <w:rPr>
                <w:rFonts w:ascii="Arial" w:eastAsia="Arial Unicode MS" w:hAnsi="Arial" w:cs="Arial"/>
                <w:sz w:val="20"/>
                <w:szCs w:val="20"/>
              </w:rPr>
            </w:pPr>
          </w:p>
        </w:tc>
      </w:tr>
      <w:tr w:rsidR="00E855C5" w:rsidTr="00E855C5">
        <w:trPr>
          <w:trHeight w:val="65"/>
        </w:trPr>
        <w:tc>
          <w:tcPr>
            <w:tcW w:w="2672" w:type="dxa"/>
            <w:tcMar>
              <w:top w:w="15" w:type="dxa"/>
              <w:left w:w="15" w:type="dxa"/>
              <w:bottom w:w="0" w:type="dxa"/>
              <w:right w:w="15" w:type="dxa"/>
            </w:tcMar>
            <w:vAlign w:val="bottom"/>
          </w:tcPr>
          <w:p w:rsidR="00E855C5" w:rsidRDefault="00E855C5">
            <w:pPr>
              <w:rPr>
                <w:rFonts w:ascii="Arial" w:eastAsia="Arial Unicode MS" w:hAnsi="Arial" w:cs="Arial"/>
                <w:sz w:val="20"/>
                <w:szCs w:val="20"/>
              </w:rPr>
            </w:pPr>
          </w:p>
        </w:tc>
        <w:tc>
          <w:tcPr>
            <w:tcW w:w="2009" w:type="dxa"/>
            <w:tcMar>
              <w:top w:w="15" w:type="dxa"/>
              <w:left w:w="15" w:type="dxa"/>
              <w:bottom w:w="0" w:type="dxa"/>
              <w:right w:w="15" w:type="dxa"/>
            </w:tcMar>
            <w:vAlign w:val="bottom"/>
          </w:tcPr>
          <w:p w:rsidR="00E855C5" w:rsidRDefault="00E855C5">
            <w:pPr>
              <w:rPr>
                <w:rFonts w:ascii="Arial" w:eastAsia="Arial Unicode MS" w:hAnsi="Arial" w:cs="Arial"/>
                <w:sz w:val="20"/>
                <w:szCs w:val="20"/>
              </w:rPr>
            </w:pPr>
          </w:p>
        </w:tc>
        <w:tc>
          <w:tcPr>
            <w:tcW w:w="2052" w:type="dxa"/>
            <w:tcMar>
              <w:top w:w="15" w:type="dxa"/>
              <w:left w:w="15" w:type="dxa"/>
              <w:bottom w:w="0" w:type="dxa"/>
              <w:right w:w="15" w:type="dxa"/>
            </w:tcMar>
            <w:vAlign w:val="bottom"/>
          </w:tcPr>
          <w:p w:rsidR="00E855C5" w:rsidRDefault="00E855C5">
            <w:pPr>
              <w:rPr>
                <w:rFonts w:ascii="Arial" w:eastAsia="Arial Unicode MS" w:hAnsi="Arial" w:cs="Arial"/>
                <w:sz w:val="20"/>
                <w:szCs w:val="20"/>
              </w:rPr>
            </w:pPr>
          </w:p>
        </w:tc>
        <w:tc>
          <w:tcPr>
            <w:tcW w:w="2047" w:type="dxa"/>
            <w:tcMar>
              <w:top w:w="15" w:type="dxa"/>
              <w:left w:w="15" w:type="dxa"/>
              <w:bottom w:w="0" w:type="dxa"/>
              <w:right w:w="15" w:type="dxa"/>
            </w:tcMar>
            <w:vAlign w:val="bottom"/>
          </w:tcPr>
          <w:p w:rsidR="00E855C5" w:rsidRDefault="00E855C5">
            <w:pPr>
              <w:rPr>
                <w:rFonts w:ascii="Arial" w:eastAsia="Arial Unicode MS" w:hAnsi="Arial" w:cs="Arial"/>
                <w:sz w:val="20"/>
                <w:szCs w:val="20"/>
              </w:rPr>
            </w:pPr>
          </w:p>
        </w:tc>
        <w:tc>
          <w:tcPr>
            <w:tcW w:w="1570" w:type="dxa"/>
            <w:tcMar>
              <w:top w:w="15" w:type="dxa"/>
              <w:left w:w="15" w:type="dxa"/>
              <w:bottom w:w="0" w:type="dxa"/>
              <w:right w:w="15" w:type="dxa"/>
            </w:tcMar>
            <w:vAlign w:val="bottom"/>
          </w:tcPr>
          <w:p w:rsidR="00E855C5" w:rsidRDefault="00E855C5">
            <w:pPr>
              <w:rPr>
                <w:rFonts w:ascii="Arial" w:eastAsia="Arial Unicode MS" w:hAnsi="Arial" w:cs="Arial"/>
                <w:sz w:val="20"/>
                <w:szCs w:val="20"/>
              </w:rPr>
            </w:pPr>
          </w:p>
        </w:tc>
      </w:tr>
      <w:tr w:rsidR="00BA34A4" w:rsidTr="00E855C5">
        <w:trPr>
          <w:trHeight w:val="255"/>
        </w:trPr>
        <w:tc>
          <w:tcPr>
            <w:tcW w:w="26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p>
        </w:tc>
        <w:tc>
          <w:tcPr>
            <w:tcW w:w="20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b/>
                <w:bCs/>
                <w:sz w:val="20"/>
                <w:szCs w:val="20"/>
                <w:lang w:eastAsia="zh-CN"/>
              </w:rPr>
            </w:pPr>
            <w:r>
              <w:rPr>
                <w:rFonts w:ascii="Arial" w:eastAsia="Arial Unicode MS" w:hAnsi="Arial" w:cs="Arial"/>
                <w:b/>
                <w:bCs/>
                <w:sz w:val="20"/>
                <w:szCs w:val="20"/>
                <w:lang w:eastAsia="zh-CN"/>
              </w:rPr>
              <w:t>2014</w:t>
            </w:r>
          </w:p>
        </w:tc>
        <w:tc>
          <w:tcPr>
            <w:tcW w:w="2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b/>
                <w:bCs/>
                <w:sz w:val="20"/>
                <w:szCs w:val="20"/>
                <w:lang w:eastAsia="zh-CN"/>
              </w:rPr>
            </w:pPr>
            <w:r>
              <w:rPr>
                <w:rFonts w:ascii="Arial" w:eastAsia="Arial Unicode MS" w:hAnsi="Arial" w:cs="Arial"/>
                <w:b/>
                <w:bCs/>
                <w:sz w:val="20"/>
                <w:szCs w:val="20"/>
                <w:lang w:eastAsia="zh-CN"/>
              </w:rPr>
              <w:t>2015</w:t>
            </w:r>
          </w:p>
        </w:tc>
        <w:tc>
          <w:tcPr>
            <w:tcW w:w="204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b/>
                <w:bCs/>
                <w:sz w:val="20"/>
                <w:szCs w:val="20"/>
                <w:lang w:eastAsia="zh-CN"/>
              </w:rPr>
            </w:pPr>
            <w:r>
              <w:rPr>
                <w:rFonts w:ascii="Arial" w:eastAsia="Arial Unicode MS" w:hAnsi="Arial" w:cs="Arial"/>
                <w:b/>
                <w:bCs/>
                <w:sz w:val="20"/>
                <w:szCs w:val="20"/>
                <w:lang w:eastAsia="zh-CN"/>
              </w:rPr>
              <w:t>2016</w:t>
            </w:r>
          </w:p>
        </w:tc>
        <w:tc>
          <w:tcPr>
            <w:tcW w:w="15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b/>
                <w:bCs/>
                <w:sz w:val="20"/>
                <w:szCs w:val="20"/>
              </w:rPr>
            </w:pPr>
            <w:r>
              <w:rPr>
                <w:rFonts w:ascii="Arial" w:eastAsia="Arial Unicode MS" w:hAnsi="Arial" w:cs="Arial"/>
                <w:b/>
                <w:bCs/>
                <w:sz w:val="20"/>
                <w:szCs w:val="20"/>
              </w:rPr>
              <w:t>Assessment</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Liquidity Ratios</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Current Ratio</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eastAsia="Arial Unicode MS" w:hAnsi="Arial" w:cs="Arial"/>
                <w:sz w:val="20"/>
                <w:szCs w:val="20"/>
              </w:rPr>
              <w:t>9.40</w:t>
            </w: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eastAsia="SimSun" w:hAnsi="Arial" w:cs="Arial"/>
                <w:sz w:val="20"/>
                <w:szCs w:val="20"/>
                <w:lang w:eastAsia="zh-CN"/>
              </w:rPr>
              <w:t>11.25</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11.97</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P</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Quick Ratio</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sz w:val="20"/>
                <w:szCs w:val="20"/>
                <w:lang w:eastAsia="zh-CN"/>
              </w:rPr>
            </w:pPr>
            <w:r>
              <w:rPr>
                <w:rFonts w:ascii="Arial" w:eastAsia="Arial Unicode MS" w:hAnsi="Arial" w:cs="Arial"/>
                <w:sz w:val="20"/>
                <w:szCs w:val="20"/>
                <w:lang w:eastAsia="zh-CN"/>
              </w:rPr>
              <w:t>-</w:t>
            </w: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sz w:val="20"/>
                <w:szCs w:val="20"/>
                <w:lang w:eastAsia="zh-CN"/>
              </w:rPr>
            </w:pPr>
            <w:r>
              <w:rPr>
                <w:rFonts w:ascii="Arial" w:eastAsia="Arial Unicode MS" w:hAnsi="Arial" w:cs="Arial"/>
                <w:sz w:val="20"/>
                <w:szCs w:val="20"/>
                <w:lang w:eastAsia="zh-CN"/>
              </w:rPr>
              <w:t>-</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sz w:val="20"/>
                <w:szCs w:val="20"/>
              </w:rPr>
            </w:pPr>
            <w:r>
              <w:rPr>
                <w:rFonts w:ascii="Arial" w:eastAsia="SimSun" w:hAnsi="Arial" w:cs="Arial"/>
                <w:sz w:val="20"/>
                <w:szCs w:val="20"/>
                <w:lang w:eastAsia="zh-CN"/>
              </w:rPr>
              <w:t>-</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jc w:val="center"/>
              <w:rPr>
                <w:rFonts w:ascii="Arial" w:eastAsia="Arial Unicode MS" w:hAnsi="Arial" w:cs="Arial"/>
                <w:sz w:val="20"/>
                <w:szCs w:val="20"/>
              </w:rPr>
            </w:pPr>
            <w:r>
              <w:rPr>
                <w:rFonts w:ascii="Arial" w:eastAsia="SimSun" w:hAnsi="Arial" w:cs="Arial"/>
                <w:sz w:val="20"/>
                <w:szCs w:val="20"/>
                <w:lang w:eastAsia="zh-CN"/>
              </w:rPr>
              <w:t>-</w:t>
            </w:r>
          </w:p>
        </w:tc>
      </w:tr>
      <w:tr w:rsidR="00BA34A4" w:rsidTr="00BA34A4">
        <w:trPr>
          <w:trHeight w:val="255"/>
        </w:trPr>
        <w:tc>
          <w:tcPr>
            <w:tcW w:w="2672" w:type="dxa"/>
            <w:tcBorders>
              <w:top w:val="nil"/>
              <w:left w:val="single" w:sz="4" w:space="0" w:color="auto"/>
              <w:bottom w:val="single" w:sz="4" w:space="0" w:color="auto"/>
              <w:right w:val="single" w:sz="4" w:space="0" w:color="auto"/>
            </w:tcBorders>
            <w:shd w:val="clear" w:color="auto" w:fill="969696"/>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2009"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p>
        </w:tc>
        <w:tc>
          <w:tcPr>
            <w:tcW w:w="2052"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Asset Utilization Ratios</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Inventory Turnover</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sz w:val="20"/>
                <w:szCs w:val="20"/>
              </w:rPr>
            </w:pPr>
            <w:r>
              <w:rPr>
                <w:rFonts w:ascii="Arial" w:eastAsia="Arial Unicode MS" w:hAnsi="Arial" w:cs="Arial"/>
                <w:sz w:val="20"/>
                <w:szCs w:val="20"/>
              </w:rPr>
              <w:t>-</w:t>
            </w: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sz w:val="20"/>
                <w:szCs w:val="20"/>
              </w:rPr>
            </w:pPr>
            <w:r>
              <w:rPr>
                <w:rFonts w:ascii="Arial" w:eastAsia="SimSun" w:hAnsi="Arial" w:cs="Arial"/>
                <w:sz w:val="20"/>
                <w:szCs w:val="20"/>
                <w:lang w:eastAsia="zh-CN"/>
              </w:rPr>
              <w:t>-</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sz w:val="20"/>
                <w:szCs w:val="20"/>
              </w:rPr>
            </w:pPr>
            <w:r>
              <w:rPr>
                <w:rFonts w:ascii="Arial" w:eastAsia="SimSun" w:hAnsi="Arial" w:cs="Arial"/>
                <w:sz w:val="20"/>
                <w:szCs w:val="20"/>
                <w:lang w:eastAsia="zh-CN"/>
              </w:rPr>
              <w:t>-</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jc w:val="center"/>
              <w:rPr>
                <w:rFonts w:ascii="Arial" w:eastAsia="Arial Unicode MS" w:hAnsi="Arial" w:cs="Arial"/>
                <w:sz w:val="20"/>
                <w:szCs w:val="20"/>
              </w:rPr>
            </w:pPr>
            <w:r>
              <w:rPr>
                <w:rFonts w:ascii="Arial" w:eastAsia="SimSun" w:hAnsi="Arial" w:cs="Arial"/>
                <w:sz w:val="20"/>
                <w:szCs w:val="20"/>
                <w:lang w:eastAsia="zh-CN"/>
              </w:rPr>
              <w:t>-</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DSI</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sz w:val="20"/>
                <w:szCs w:val="20"/>
              </w:rPr>
            </w:pPr>
            <w:r>
              <w:rPr>
                <w:rFonts w:ascii="Arial" w:eastAsia="Arial Unicode MS" w:hAnsi="Arial" w:cs="Arial"/>
                <w:sz w:val="20"/>
                <w:szCs w:val="20"/>
              </w:rPr>
              <w:t>-</w:t>
            </w: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sz w:val="20"/>
                <w:szCs w:val="20"/>
              </w:rPr>
            </w:pPr>
            <w:r>
              <w:rPr>
                <w:rFonts w:ascii="Arial" w:eastAsia="SimSun" w:hAnsi="Arial" w:cs="Arial"/>
                <w:sz w:val="20"/>
                <w:szCs w:val="20"/>
                <w:lang w:eastAsia="zh-CN"/>
              </w:rPr>
              <w:t>-</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sz w:val="20"/>
                <w:szCs w:val="20"/>
              </w:rPr>
            </w:pPr>
            <w:r>
              <w:rPr>
                <w:rFonts w:ascii="Arial" w:eastAsia="SimSun" w:hAnsi="Arial" w:cs="Arial"/>
                <w:sz w:val="20"/>
                <w:szCs w:val="20"/>
                <w:lang w:eastAsia="zh-CN"/>
              </w:rPr>
              <w:t>-</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jc w:val="center"/>
              <w:rPr>
                <w:rFonts w:ascii="Arial" w:eastAsia="Arial Unicode MS" w:hAnsi="Arial" w:cs="Arial"/>
                <w:sz w:val="20"/>
                <w:szCs w:val="20"/>
              </w:rPr>
            </w:pPr>
            <w:r>
              <w:rPr>
                <w:rFonts w:ascii="Arial" w:eastAsia="SimSun" w:hAnsi="Arial" w:cs="Arial"/>
                <w:sz w:val="20"/>
                <w:szCs w:val="20"/>
                <w:lang w:eastAsia="zh-CN"/>
              </w:rPr>
              <w:t>-</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AR Turnover</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A919B6" w:rsidP="00BA34A4">
            <w:pPr>
              <w:rPr>
                <w:rFonts w:ascii="Arial" w:eastAsia="Arial Unicode MS" w:hAnsi="Arial" w:cs="Arial"/>
                <w:sz w:val="20"/>
                <w:szCs w:val="20"/>
              </w:rPr>
            </w:pPr>
            <w:r>
              <w:rPr>
                <w:rFonts w:ascii="Arial" w:eastAsia="Arial Unicode MS" w:hAnsi="Arial" w:cs="Arial"/>
                <w:sz w:val="20"/>
                <w:szCs w:val="20"/>
              </w:rPr>
              <w:t>7.43</w:t>
            </w: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eastAsia="SimSun" w:hAnsi="Arial" w:cs="Arial"/>
                <w:sz w:val="20"/>
                <w:szCs w:val="20"/>
                <w:lang w:eastAsia="zh-CN"/>
              </w:rPr>
              <w:t>7.01</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6.92</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N</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DSO (ACP)</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A919B6" w:rsidP="00BA34A4">
            <w:pPr>
              <w:rPr>
                <w:rFonts w:ascii="Arial" w:eastAsia="Arial Unicode MS" w:hAnsi="Arial" w:cs="Arial"/>
                <w:sz w:val="20"/>
                <w:szCs w:val="20"/>
              </w:rPr>
            </w:pPr>
            <w:r>
              <w:rPr>
                <w:rFonts w:ascii="Arial" w:eastAsia="Arial Unicode MS" w:hAnsi="Arial" w:cs="Arial"/>
                <w:sz w:val="20"/>
                <w:szCs w:val="20"/>
              </w:rPr>
              <w:t>49.13</w:t>
            </w: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52.07</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52.75</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r w:rsidR="00A919B6" w:rsidRPr="009253A5">
              <w:rPr>
                <w:rFonts w:ascii="Arial" w:eastAsia="SimSun" w:hAnsi="Arial" w:cs="Arial"/>
                <w:sz w:val="20"/>
                <w:szCs w:val="20"/>
                <w:lang w:eastAsia="zh-CN"/>
              </w:rPr>
              <w:t>P</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Fixed Asset Turnover</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A919B6" w:rsidP="00BA34A4">
            <w:pPr>
              <w:rPr>
                <w:rFonts w:ascii="Arial" w:eastAsia="Arial Unicode MS" w:hAnsi="Arial" w:cs="Arial"/>
                <w:sz w:val="20"/>
                <w:szCs w:val="20"/>
              </w:rPr>
            </w:pPr>
            <w:r>
              <w:rPr>
                <w:rFonts w:ascii="Arial" w:eastAsia="Arial Unicode MS" w:hAnsi="Arial" w:cs="Arial"/>
                <w:sz w:val="20"/>
                <w:szCs w:val="20"/>
              </w:rPr>
              <w:t>0.47</w:t>
            </w: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eastAsia="SimSun" w:hAnsi="Arial" w:cs="Arial"/>
                <w:sz w:val="20"/>
                <w:szCs w:val="20"/>
                <w:lang w:eastAsia="zh-CN"/>
              </w:rPr>
              <w:t>0.65</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0.90</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P</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Total Asset Turnover</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A919B6" w:rsidP="00BA34A4">
            <w:pPr>
              <w:rPr>
                <w:rFonts w:ascii="Arial" w:eastAsia="Arial Unicode MS" w:hAnsi="Arial" w:cs="Arial"/>
                <w:sz w:val="20"/>
                <w:szCs w:val="20"/>
              </w:rPr>
            </w:pPr>
            <w:r>
              <w:rPr>
                <w:rFonts w:ascii="Arial" w:eastAsia="Arial Unicode MS" w:hAnsi="Arial" w:cs="Arial"/>
                <w:sz w:val="20"/>
                <w:szCs w:val="20"/>
              </w:rPr>
              <w:t>0.31</w:t>
            </w: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0.36</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0.43</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P</w:t>
            </w:r>
          </w:p>
        </w:tc>
      </w:tr>
      <w:tr w:rsidR="00BA34A4" w:rsidTr="00BA34A4">
        <w:trPr>
          <w:trHeight w:val="255"/>
        </w:trPr>
        <w:tc>
          <w:tcPr>
            <w:tcW w:w="2672" w:type="dxa"/>
            <w:tcBorders>
              <w:top w:val="nil"/>
              <w:left w:val="single" w:sz="4" w:space="0" w:color="auto"/>
              <w:bottom w:val="single" w:sz="4" w:space="0" w:color="auto"/>
              <w:right w:val="single" w:sz="4" w:space="0" w:color="auto"/>
            </w:tcBorders>
            <w:shd w:val="clear" w:color="auto" w:fill="969696"/>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2009"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p>
        </w:tc>
        <w:tc>
          <w:tcPr>
            <w:tcW w:w="2052"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Debt Management Ratios</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Debt Ratio</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A919B6" w:rsidP="00BA34A4">
            <w:pPr>
              <w:rPr>
                <w:rFonts w:ascii="Arial" w:eastAsia="Arial Unicode MS" w:hAnsi="Arial" w:cs="Arial"/>
                <w:sz w:val="20"/>
                <w:szCs w:val="20"/>
              </w:rPr>
            </w:pPr>
            <w:r>
              <w:rPr>
                <w:rFonts w:ascii="Arial" w:eastAsia="Arial Unicode MS" w:hAnsi="Arial" w:cs="Arial"/>
                <w:sz w:val="20"/>
                <w:szCs w:val="20"/>
              </w:rPr>
              <w:t>0.10</w:t>
            </w: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0.11</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0.09</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P</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TIE</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A919B6" w:rsidP="00BA34A4">
            <w:pPr>
              <w:jc w:val="center"/>
              <w:rPr>
                <w:rFonts w:ascii="Arial" w:eastAsia="Arial Unicode MS" w:hAnsi="Arial" w:cs="Arial"/>
                <w:sz w:val="20"/>
                <w:szCs w:val="20"/>
              </w:rPr>
            </w:pPr>
            <w:r>
              <w:rPr>
                <w:rFonts w:ascii="Arial" w:eastAsia="Arial Unicode MS" w:hAnsi="Arial" w:cs="Arial"/>
                <w:sz w:val="20"/>
                <w:szCs w:val="20"/>
              </w:rPr>
              <w:t>-</w:t>
            </w: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sz w:val="20"/>
                <w:szCs w:val="20"/>
              </w:rPr>
            </w:pPr>
            <w:r>
              <w:rPr>
                <w:rFonts w:ascii="Arial" w:eastAsia="SimSun" w:hAnsi="Arial" w:cs="Arial"/>
                <w:sz w:val="20"/>
                <w:szCs w:val="20"/>
                <w:lang w:eastAsia="zh-CN"/>
              </w:rPr>
              <w:t>-</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sz w:val="20"/>
                <w:szCs w:val="20"/>
              </w:rPr>
            </w:pPr>
            <w:r>
              <w:rPr>
                <w:rFonts w:ascii="Arial" w:eastAsia="SimSun" w:hAnsi="Arial" w:cs="Arial"/>
                <w:sz w:val="20"/>
                <w:szCs w:val="20"/>
                <w:lang w:eastAsia="zh-CN"/>
              </w:rPr>
              <w:t>-</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jc w:val="center"/>
              <w:rPr>
                <w:rFonts w:ascii="Arial" w:eastAsia="Arial Unicode MS" w:hAnsi="Arial" w:cs="Arial"/>
                <w:sz w:val="20"/>
                <w:szCs w:val="20"/>
              </w:rPr>
            </w:pPr>
            <w:r>
              <w:rPr>
                <w:rFonts w:ascii="Arial" w:eastAsia="SimSun" w:hAnsi="Arial" w:cs="Arial"/>
                <w:sz w:val="20"/>
                <w:szCs w:val="20"/>
                <w:lang w:eastAsia="zh-CN"/>
              </w:rPr>
              <w:t>-</w:t>
            </w:r>
          </w:p>
        </w:tc>
      </w:tr>
      <w:tr w:rsidR="00BA34A4" w:rsidTr="00BA34A4">
        <w:trPr>
          <w:trHeight w:val="255"/>
        </w:trPr>
        <w:tc>
          <w:tcPr>
            <w:tcW w:w="2672" w:type="dxa"/>
            <w:tcBorders>
              <w:top w:val="nil"/>
              <w:left w:val="single" w:sz="4" w:space="0" w:color="auto"/>
              <w:bottom w:val="single" w:sz="4" w:space="0" w:color="auto"/>
              <w:right w:val="single" w:sz="4" w:space="0" w:color="auto"/>
            </w:tcBorders>
            <w:shd w:val="clear" w:color="auto" w:fill="969696"/>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2009"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p>
        </w:tc>
        <w:tc>
          <w:tcPr>
            <w:tcW w:w="2052"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Profitability Ratios</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Gross Margin</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A919B6" w:rsidP="00BA34A4">
            <w:pPr>
              <w:rPr>
                <w:rFonts w:ascii="Arial" w:eastAsia="Arial Unicode MS" w:hAnsi="Arial" w:cs="Arial"/>
                <w:sz w:val="20"/>
                <w:szCs w:val="20"/>
              </w:rPr>
            </w:pPr>
            <w:r>
              <w:rPr>
                <w:rFonts w:ascii="Arial" w:eastAsia="Arial Unicode MS" w:hAnsi="Arial" w:cs="Arial"/>
                <w:sz w:val="20"/>
                <w:szCs w:val="20"/>
              </w:rPr>
              <w:t>0.83</w:t>
            </w: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0.84</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0.86</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P</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Operating Margin</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A919B6" w:rsidP="00BA34A4">
            <w:pPr>
              <w:rPr>
                <w:rFonts w:ascii="Arial" w:eastAsia="Arial Unicode MS" w:hAnsi="Arial" w:cs="Arial"/>
                <w:sz w:val="20"/>
                <w:szCs w:val="20"/>
              </w:rPr>
            </w:pPr>
            <w:r>
              <w:rPr>
                <w:rFonts w:ascii="Arial" w:eastAsia="Arial Unicode MS" w:hAnsi="Arial" w:cs="Arial"/>
                <w:sz w:val="20"/>
                <w:szCs w:val="20"/>
              </w:rPr>
              <w:t>0.40</w:t>
            </w: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0.41</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0.52</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P</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Profit Margin</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A919B6" w:rsidP="00BA34A4">
            <w:pPr>
              <w:rPr>
                <w:rFonts w:ascii="Arial" w:eastAsia="Arial Unicode MS" w:hAnsi="Arial" w:cs="Arial"/>
                <w:sz w:val="20"/>
                <w:szCs w:val="20"/>
              </w:rPr>
            </w:pPr>
            <w:r>
              <w:rPr>
                <w:rFonts w:ascii="Arial" w:eastAsia="Arial Unicode MS" w:hAnsi="Arial" w:cs="Arial"/>
                <w:sz w:val="20"/>
                <w:szCs w:val="20"/>
              </w:rPr>
              <w:t>0.24</w:t>
            </w: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0.21</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0.37</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P</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BEP</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A919B6" w:rsidP="00BA34A4">
            <w:pPr>
              <w:rPr>
                <w:rFonts w:ascii="Arial" w:eastAsia="Arial Unicode MS" w:hAnsi="Arial" w:cs="Arial"/>
                <w:sz w:val="20"/>
                <w:szCs w:val="20"/>
              </w:rPr>
            </w:pPr>
            <w:r>
              <w:rPr>
                <w:rFonts w:ascii="Arial" w:eastAsia="Arial Unicode MS" w:hAnsi="Arial" w:cs="Arial"/>
                <w:sz w:val="20"/>
                <w:szCs w:val="20"/>
              </w:rPr>
              <w:t>0.12</w:t>
            </w: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0.13</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0.19</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P</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ROA</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9253A5" w:rsidP="00BA34A4">
            <w:pPr>
              <w:rPr>
                <w:rFonts w:ascii="Arial" w:eastAsia="Arial Unicode MS" w:hAnsi="Arial" w:cs="Arial"/>
                <w:sz w:val="20"/>
                <w:szCs w:val="20"/>
              </w:rPr>
            </w:pPr>
            <w:r>
              <w:rPr>
                <w:rFonts w:ascii="Arial" w:eastAsia="Arial Unicode MS" w:hAnsi="Arial" w:cs="Arial"/>
                <w:sz w:val="20"/>
                <w:szCs w:val="20"/>
              </w:rPr>
              <w:t>0.07</w:t>
            </w: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0.07</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0.16</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P</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ROE</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9253A5" w:rsidP="00BA34A4">
            <w:pPr>
              <w:rPr>
                <w:rFonts w:ascii="Arial" w:eastAsia="Arial Unicode MS" w:hAnsi="Arial" w:cs="Arial"/>
                <w:sz w:val="20"/>
                <w:szCs w:val="20"/>
              </w:rPr>
            </w:pPr>
            <w:r>
              <w:rPr>
                <w:rFonts w:ascii="Arial" w:eastAsia="Arial Unicode MS" w:hAnsi="Arial" w:cs="Arial"/>
                <w:sz w:val="20"/>
                <w:szCs w:val="20"/>
              </w:rPr>
              <w:t>0.08</w:t>
            </w: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eastAsia="SimSun" w:hAnsi="Arial" w:cs="Arial"/>
                <w:sz w:val="20"/>
                <w:szCs w:val="20"/>
                <w:lang w:eastAsia="zh-CN"/>
              </w:rPr>
              <w:t>0.08</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9253A5">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0.17</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r>
              <w:rPr>
                <w:rFonts w:ascii="Arial" w:eastAsia="SimSun" w:hAnsi="Arial" w:cs="Arial"/>
                <w:sz w:val="20"/>
                <w:szCs w:val="20"/>
                <w:lang w:eastAsia="zh-CN"/>
              </w:rPr>
              <w:t>P</w:t>
            </w:r>
          </w:p>
        </w:tc>
      </w:tr>
      <w:tr w:rsidR="00BA34A4" w:rsidTr="00BA34A4">
        <w:trPr>
          <w:trHeight w:val="255"/>
        </w:trPr>
        <w:tc>
          <w:tcPr>
            <w:tcW w:w="2672" w:type="dxa"/>
            <w:tcBorders>
              <w:top w:val="nil"/>
              <w:left w:val="single" w:sz="4" w:space="0" w:color="auto"/>
              <w:bottom w:val="single" w:sz="4" w:space="0" w:color="auto"/>
              <w:right w:val="single" w:sz="4" w:space="0" w:color="auto"/>
            </w:tcBorders>
            <w:shd w:val="clear" w:color="auto" w:fill="969696"/>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lastRenderedPageBreak/>
              <w:t xml:space="preserve">   </w:t>
            </w:r>
          </w:p>
        </w:tc>
        <w:tc>
          <w:tcPr>
            <w:tcW w:w="2009"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p>
        </w:tc>
        <w:tc>
          <w:tcPr>
            <w:tcW w:w="2052"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157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Market Ratios</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P/E </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81.13</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rPr>
                <w:rFonts w:ascii="Arial" w:eastAsia="Arial Unicode MS" w:hAnsi="Arial" w:cs="Arial"/>
                <w:sz w:val="20"/>
                <w:szCs w:val="20"/>
              </w:rPr>
            </w:pPr>
            <w:r>
              <w:rPr>
                <w:rFonts w:ascii="Arial" w:hAnsi="Arial" w:cs="Arial"/>
                <w:sz w:val="20"/>
                <w:szCs w:val="20"/>
              </w:rPr>
              <w:t> 32.97</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N</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P/CF</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sz w:val="20"/>
                <w:szCs w:val="20"/>
              </w:rPr>
            </w:pP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sz w:val="20"/>
                <w:szCs w:val="20"/>
              </w:rPr>
            </w:pPr>
            <w:r>
              <w:rPr>
                <w:rFonts w:ascii="Arial" w:hAnsi="Arial" w:cs="Arial"/>
                <w:sz w:val="20"/>
                <w:szCs w:val="20"/>
              </w:rPr>
              <w:t>-</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sz w:val="20"/>
                <w:szCs w:val="20"/>
              </w:rPr>
            </w:pPr>
            <w:r>
              <w:rPr>
                <w:rFonts w:ascii="Arial" w:hAnsi="Arial" w:cs="Arial"/>
                <w:sz w:val="20"/>
                <w:szCs w:val="20"/>
              </w:rPr>
              <w:t>-</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jc w:val="center"/>
              <w:rPr>
                <w:rFonts w:ascii="Arial" w:eastAsia="Arial Unicode MS" w:hAnsi="Arial" w:cs="Arial"/>
                <w:sz w:val="20"/>
                <w:szCs w:val="20"/>
              </w:rPr>
            </w:pPr>
            <w:r>
              <w:rPr>
                <w:rFonts w:ascii="Arial" w:hAnsi="Arial" w:cs="Arial"/>
                <w:sz w:val="20"/>
                <w:szCs w:val="20"/>
              </w:rPr>
              <w:t>-</w:t>
            </w:r>
          </w:p>
        </w:tc>
      </w:tr>
      <w:tr w:rsidR="00BA34A4" w:rsidTr="00BA34A4">
        <w:trPr>
          <w:trHeight w:val="255"/>
        </w:trPr>
        <w:tc>
          <w:tcPr>
            <w:tcW w:w="26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rPr>
                <w:rFonts w:ascii="Arial" w:eastAsia="Arial Unicode MS" w:hAnsi="Arial" w:cs="Arial"/>
                <w:sz w:val="20"/>
                <w:szCs w:val="20"/>
              </w:rPr>
            </w:pPr>
            <w:r>
              <w:rPr>
                <w:rFonts w:ascii="Arial" w:hAnsi="Arial" w:cs="Arial"/>
                <w:sz w:val="20"/>
                <w:szCs w:val="20"/>
              </w:rPr>
              <w:t xml:space="preserve">   M/B</w:t>
            </w:r>
          </w:p>
        </w:tc>
        <w:tc>
          <w:tcPr>
            <w:tcW w:w="2009"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sz w:val="20"/>
                <w:szCs w:val="20"/>
              </w:rPr>
            </w:pPr>
          </w:p>
        </w:tc>
        <w:tc>
          <w:tcPr>
            <w:tcW w:w="2052"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sz w:val="20"/>
                <w:szCs w:val="20"/>
              </w:rPr>
            </w:pPr>
            <w:r>
              <w:rPr>
                <w:rFonts w:ascii="Arial" w:hAnsi="Arial" w:cs="Arial"/>
                <w:sz w:val="20"/>
                <w:szCs w:val="20"/>
              </w:rPr>
              <w:t>-</w:t>
            </w:r>
          </w:p>
        </w:tc>
        <w:tc>
          <w:tcPr>
            <w:tcW w:w="2047" w:type="dxa"/>
            <w:tcBorders>
              <w:top w:val="nil"/>
              <w:left w:val="nil"/>
              <w:bottom w:val="single" w:sz="4" w:space="0" w:color="auto"/>
              <w:right w:val="single" w:sz="4" w:space="0" w:color="auto"/>
            </w:tcBorders>
            <w:tcMar>
              <w:top w:w="15" w:type="dxa"/>
              <w:left w:w="15" w:type="dxa"/>
              <w:bottom w:w="0" w:type="dxa"/>
              <w:right w:w="15" w:type="dxa"/>
            </w:tcMar>
            <w:vAlign w:val="bottom"/>
          </w:tcPr>
          <w:p w:rsidR="00BA34A4" w:rsidRDefault="00BA34A4" w:rsidP="00BA34A4">
            <w:pPr>
              <w:jc w:val="center"/>
              <w:rPr>
                <w:rFonts w:ascii="Arial" w:eastAsia="Arial Unicode MS" w:hAnsi="Arial" w:cs="Arial"/>
                <w:sz w:val="20"/>
                <w:szCs w:val="20"/>
              </w:rPr>
            </w:pPr>
            <w:r>
              <w:rPr>
                <w:rFonts w:ascii="Arial" w:hAnsi="Arial" w:cs="Arial"/>
                <w:sz w:val="20"/>
                <w:szCs w:val="20"/>
              </w:rPr>
              <w:t>-</w:t>
            </w:r>
          </w:p>
        </w:tc>
        <w:tc>
          <w:tcPr>
            <w:tcW w:w="157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BA34A4" w:rsidRDefault="00BA34A4" w:rsidP="00BA34A4">
            <w:pPr>
              <w:jc w:val="center"/>
              <w:rPr>
                <w:rFonts w:ascii="Arial" w:eastAsia="Arial Unicode MS" w:hAnsi="Arial" w:cs="Arial"/>
                <w:sz w:val="20"/>
                <w:szCs w:val="20"/>
              </w:rPr>
            </w:pPr>
            <w:r>
              <w:rPr>
                <w:rFonts w:ascii="Arial" w:hAnsi="Arial" w:cs="Arial"/>
                <w:sz w:val="20"/>
                <w:szCs w:val="20"/>
              </w:rPr>
              <w:t>-</w:t>
            </w:r>
          </w:p>
        </w:tc>
      </w:tr>
    </w:tbl>
    <w:p w:rsidR="00E855C5" w:rsidRDefault="00E855C5" w:rsidP="00E855C5">
      <w:pPr>
        <w:rPr>
          <w:sz w:val="24"/>
          <w:szCs w:val="24"/>
        </w:rPr>
      </w:pPr>
    </w:p>
    <w:p w:rsidR="00E855C5" w:rsidRDefault="00E855C5" w:rsidP="00E855C5">
      <w:pPr>
        <w:rPr>
          <w:sz w:val="24"/>
          <w:szCs w:val="24"/>
        </w:rPr>
      </w:pPr>
      <w:r>
        <w:rPr>
          <w:sz w:val="24"/>
          <w:szCs w:val="24"/>
        </w:rPr>
        <w:t xml:space="preserve">(Source: </w:t>
      </w:r>
      <w:hyperlink r:id="rId4" w:history="1">
        <w:r w:rsidR="009253A5" w:rsidRPr="00F96254">
          <w:rPr>
            <w:rStyle w:val="Hyperlink"/>
            <w:sz w:val="24"/>
            <w:szCs w:val="24"/>
          </w:rPr>
          <w:t>https://finance.yahoo.com/quote/FB?p=FB</w:t>
        </w:r>
      </w:hyperlink>
    </w:p>
    <w:p w:rsidR="009253A5" w:rsidRDefault="009253A5" w:rsidP="00E855C5">
      <w:pPr>
        <w:rPr>
          <w:sz w:val="24"/>
          <w:szCs w:val="24"/>
        </w:rPr>
      </w:pPr>
      <w:r w:rsidRPr="009253A5">
        <w:rPr>
          <w:sz w:val="24"/>
          <w:szCs w:val="24"/>
        </w:rPr>
        <w:t>http://finance.google.com/finance?q=NASDAQ%3AFB&amp;fstype=ii&amp;ei=XeuVWundDZqsmgHYqKq4Dg</w:t>
      </w:r>
      <w:r>
        <w:rPr>
          <w:sz w:val="24"/>
          <w:szCs w:val="24"/>
        </w:rPr>
        <w:t>)</w:t>
      </w:r>
    </w:p>
    <w:p w:rsidR="00E855C5" w:rsidRDefault="00E855C5" w:rsidP="00E855C5">
      <w:pPr>
        <w:rPr>
          <w:sz w:val="24"/>
          <w:szCs w:val="24"/>
        </w:rPr>
      </w:pPr>
    </w:p>
    <w:p w:rsidR="00E855C5" w:rsidRDefault="00E855C5" w:rsidP="00E855C5">
      <w:pPr>
        <w:rPr>
          <w:sz w:val="24"/>
          <w:szCs w:val="24"/>
        </w:rPr>
      </w:pPr>
    </w:p>
    <w:p w:rsidR="00E855C5" w:rsidRDefault="00E855C5" w:rsidP="00E855C5">
      <w:pPr>
        <w:rPr>
          <w:sz w:val="24"/>
          <w:szCs w:val="24"/>
        </w:rPr>
      </w:pPr>
    </w:p>
    <w:p w:rsidR="00E855C5" w:rsidRDefault="00E855C5" w:rsidP="00E855C5">
      <w:pPr>
        <w:rPr>
          <w:sz w:val="24"/>
          <w:szCs w:val="24"/>
        </w:rPr>
      </w:pPr>
    </w:p>
    <w:p w:rsidR="00E855C5" w:rsidRDefault="00E855C5" w:rsidP="00E855C5">
      <w:pPr>
        <w:rPr>
          <w:sz w:val="24"/>
          <w:szCs w:val="24"/>
        </w:rPr>
      </w:pPr>
    </w:p>
    <w:p w:rsidR="00E855C5" w:rsidRDefault="00E855C5" w:rsidP="00E855C5">
      <w:pPr>
        <w:rPr>
          <w:sz w:val="24"/>
          <w:szCs w:val="24"/>
        </w:rPr>
      </w:pPr>
    </w:p>
    <w:p w:rsidR="00E855C5" w:rsidRDefault="00E855C5" w:rsidP="00E855C5">
      <w:pPr>
        <w:rPr>
          <w:sz w:val="24"/>
          <w:szCs w:val="24"/>
        </w:rPr>
      </w:pPr>
    </w:p>
    <w:p w:rsidR="00E855C5" w:rsidRDefault="00E855C5" w:rsidP="00E855C5">
      <w:pPr>
        <w:rPr>
          <w:sz w:val="24"/>
          <w:szCs w:val="24"/>
        </w:rPr>
      </w:pPr>
    </w:p>
    <w:p w:rsidR="00E855C5" w:rsidRDefault="00E855C5" w:rsidP="00E855C5">
      <w:pPr>
        <w:rPr>
          <w:sz w:val="24"/>
          <w:szCs w:val="24"/>
        </w:rPr>
      </w:pPr>
    </w:p>
    <w:p w:rsidR="00E855C5" w:rsidRDefault="00E855C5" w:rsidP="00E855C5">
      <w:pPr>
        <w:rPr>
          <w:sz w:val="24"/>
          <w:szCs w:val="24"/>
        </w:rPr>
      </w:pPr>
    </w:p>
    <w:p w:rsidR="00E855C5" w:rsidRDefault="00E855C5" w:rsidP="00E855C5">
      <w:pPr>
        <w:rPr>
          <w:sz w:val="24"/>
          <w:szCs w:val="24"/>
        </w:rPr>
      </w:pPr>
    </w:p>
    <w:p w:rsidR="00E855C5" w:rsidRDefault="00E855C5" w:rsidP="00E855C5">
      <w:pPr>
        <w:rPr>
          <w:sz w:val="24"/>
          <w:szCs w:val="24"/>
        </w:rPr>
      </w:pPr>
    </w:p>
    <w:p w:rsidR="00E855C5" w:rsidRDefault="00E855C5" w:rsidP="00E855C5">
      <w:pPr>
        <w:rPr>
          <w:sz w:val="24"/>
          <w:szCs w:val="24"/>
        </w:rPr>
      </w:pPr>
    </w:p>
    <w:p w:rsidR="005D1888" w:rsidRDefault="005D1888" w:rsidP="00E855C5">
      <w:pPr>
        <w:rPr>
          <w:sz w:val="24"/>
          <w:szCs w:val="24"/>
        </w:rPr>
      </w:pPr>
    </w:p>
    <w:p w:rsidR="005D1888" w:rsidRDefault="005D1888" w:rsidP="00E855C5">
      <w:pPr>
        <w:rPr>
          <w:sz w:val="24"/>
          <w:szCs w:val="24"/>
        </w:rPr>
      </w:pPr>
    </w:p>
    <w:p w:rsidR="005D1888" w:rsidRDefault="005D1888" w:rsidP="00E855C5">
      <w:pPr>
        <w:rPr>
          <w:sz w:val="24"/>
          <w:szCs w:val="24"/>
        </w:rPr>
      </w:pPr>
    </w:p>
    <w:p w:rsidR="005D1888" w:rsidRDefault="005D1888" w:rsidP="00E855C5">
      <w:pPr>
        <w:rPr>
          <w:sz w:val="24"/>
          <w:szCs w:val="24"/>
        </w:rPr>
      </w:pPr>
    </w:p>
    <w:p w:rsidR="005D1888" w:rsidRDefault="005D1888" w:rsidP="00E855C5">
      <w:pPr>
        <w:rPr>
          <w:sz w:val="24"/>
          <w:szCs w:val="24"/>
        </w:rPr>
      </w:pPr>
    </w:p>
    <w:p w:rsidR="005D1888" w:rsidRDefault="005D1888" w:rsidP="00E855C5">
      <w:pPr>
        <w:rPr>
          <w:sz w:val="24"/>
          <w:szCs w:val="24"/>
        </w:rPr>
      </w:pPr>
    </w:p>
    <w:tbl>
      <w:tblPr>
        <w:tblW w:w="0" w:type="auto"/>
        <w:tblLayout w:type="fixed"/>
        <w:tblCellMar>
          <w:left w:w="0" w:type="dxa"/>
          <w:right w:w="0" w:type="dxa"/>
        </w:tblCellMar>
        <w:tblLook w:val="04A0" w:firstRow="1" w:lastRow="0" w:firstColumn="1" w:lastColumn="0" w:noHBand="0" w:noVBand="1"/>
      </w:tblPr>
      <w:tblGrid>
        <w:gridCol w:w="2681"/>
        <w:gridCol w:w="1099"/>
        <w:gridCol w:w="1280"/>
        <w:gridCol w:w="1340"/>
        <w:gridCol w:w="1340"/>
        <w:gridCol w:w="1340"/>
      </w:tblGrid>
      <w:tr w:rsidR="00E855C5" w:rsidTr="00E855C5">
        <w:trPr>
          <w:trHeight w:val="255"/>
        </w:trPr>
        <w:tc>
          <w:tcPr>
            <w:tcW w:w="5060" w:type="dxa"/>
            <w:gridSpan w:val="3"/>
            <w:tcMar>
              <w:top w:w="15" w:type="dxa"/>
              <w:left w:w="15" w:type="dxa"/>
              <w:bottom w:w="0" w:type="dxa"/>
              <w:right w:w="15" w:type="dxa"/>
            </w:tcMar>
            <w:vAlign w:val="bottom"/>
            <w:hideMark/>
          </w:tcPr>
          <w:p w:rsidR="00E855C5" w:rsidRDefault="00E855C5">
            <w:pPr>
              <w:spacing w:before="480"/>
              <w:rPr>
                <w:rFonts w:ascii="Arial" w:eastAsia="Arial Unicode MS" w:hAnsi="Arial" w:cs="Arial"/>
                <w:b/>
                <w:bCs/>
                <w:sz w:val="20"/>
                <w:szCs w:val="20"/>
              </w:rPr>
            </w:pPr>
            <w:r>
              <w:rPr>
                <w:rFonts w:ascii="Arial" w:hAnsi="Arial" w:cs="Arial"/>
                <w:b/>
                <w:bCs/>
                <w:sz w:val="20"/>
                <w:szCs w:val="20"/>
              </w:rPr>
              <w:lastRenderedPageBreak/>
              <w:t>Financial Ratios: Competitor Comparison</w:t>
            </w:r>
          </w:p>
        </w:tc>
        <w:tc>
          <w:tcPr>
            <w:tcW w:w="1340" w:type="dxa"/>
            <w:tcMar>
              <w:top w:w="15" w:type="dxa"/>
              <w:left w:w="15" w:type="dxa"/>
              <w:bottom w:w="0" w:type="dxa"/>
              <w:right w:w="15" w:type="dxa"/>
            </w:tcMar>
            <w:vAlign w:val="bottom"/>
          </w:tcPr>
          <w:p w:rsidR="00E855C5" w:rsidRDefault="00E855C5">
            <w:pPr>
              <w:jc w:val="center"/>
              <w:rPr>
                <w:rFonts w:ascii="Arial" w:eastAsia="Arial Unicode MS" w:hAnsi="Arial" w:cs="Arial"/>
                <w:b/>
                <w:bCs/>
                <w:sz w:val="20"/>
                <w:szCs w:val="20"/>
              </w:rPr>
            </w:pPr>
          </w:p>
        </w:tc>
        <w:tc>
          <w:tcPr>
            <w:tcW w:w="1340" w:type="dxa"/>
            <w:tcMar>
              <w:top w:w="15" w:type="dxa"/>
              <w:left w:w="15" w:type="dxa"/>
              <w:bottom w:w="0" w:type="dxa"/>
              <w:right w:w="15" w:type="dxa"/>
            </w:tcMar>
            <w:vAlign w:val="bottom"/>
            <w:hideMark/>
          </w:tcPr>
          <w:p w:rsidR="00E855C5" w:rsidRDefault="00E855C5">
            <w:pPr>
              <w:jc w:val="center"/>
              <w:rPr>
                <w:rFonts w:ascii="Arial" w:eastAsia="Arial Unicode MS" w:hAnsi="Arial" w:cs="Arial"/>
                <w:b/>
                <w:bCs/>
                <w:sz w:val="20"/>
                <w:szCs w:val="20"/>
              </w:rPr>
            </w:pPr>
            <w:r>
              <w:rPr>
                <w:rFonts w:ascii="Arial" w:hAnsi="Arial" w:cs="Arial"/>
                <w:b/>
                <w:bCs/>
                <w:sz w:val="20"/>
                <w:szCs w:val="20"/>
              </w:rPr>
              <w:t>Case Year</w:t>
            </w:r>
          </w:p>
        </w:tc>
        <w:tc>
          <w:tcPr>
            <w:tcW w:w="13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2016</w:t>
            </w:r>
          </w:p>
        </w:tc>
      </w:tr>
      <w:tr w:rsidR="00E855C5" w:rsidTr="00E855C5">
        <w:trPr>
          <w:trHeight w:val="255"/>
        </w:trPr>
        <w:tc>
          <w:tcPr>
            <w:tcW w:w="5060" w:type="dxa"/>
            <w:gridSpan w:val="3"/>
            <w:tcMar>
              <w:top w:w="15" w:type="dxa"/>
              <w:left w:w="15" w:type="dxa"/>
              <w:bottom w:w="0" w:type="dxa"/>
              <w:right w:w="15" w:type="dxa"/>
            </w:tcMar>
            <w:vAlign w:val="bottom"/>
            <w:hideMark/>
          </w:tcPr>
          <w:p w:rsidR="00E855C5" w:rsidRDefault="00E855C5">
            <w:pPr>
              <w:rPr>
                <w:rFonts w:ascii="Arial" w:eastAsia="Times New Roman" w:hAnsi="Arial" w:cs="Arial"/>
                <w:b/>
                <w:bCs/>
                <w:sz w:val="20"/>
                <w:szCs w:val="20"/>
              </w:rPr>
            </w:pPr>
            <w:r>
              <w:rPr>
                <w:rFonts w:ascii="Arial" w:hAnsi="Arial" w:cs="Arial"/>
                <w:b/>
                <w:bCs/>
                <w:sz w:val="20"/>
                <w:szCs w:val="20"/>
              </w:rPr>
              <w:t>(Citation)</w:t>
            </w:r>
          </w:p>
        </w:tc>
        <w:tc>
          <w:tcPr>
            <w:tcW w:w="1340" w:type="dxa"/>
            <w:tcMar>
              <w:top w:w="15" w:type="dxa"/>
              <w:left w:w="15" w:type="dxa"/>
              <w:bottom w:w="0" w:type="dxa"/>
              <w:right w:w="15" w:type="dxa"/>
            </w:tcMar>
            <w:vAlign w:val="bottom"/>
          </w:tcPr>
          <w:p w:rsidR="00E855C5" w:rsidRDefault="00E855C5">
            <w:pPr>
              <w:jc w:val="center"/>
              <w:rPr>
                <w:rFonts w:ascii="Arial" w:eastAsia="Arial Unicode MS" w:hAnsi="Arial" w:cs="Arial"/>
                <w:b/>
                <w:bCs/>
                <w:sz w:val="20"/>
                <w:szCs w:val="20"/>
              </w:rPr>
            </w:pPr>
          </w:p>
        </w:tc>
        <w:tc>
          <w:tcPr>
            <w:tcW w:w="1340" w:type="dxa"/>
            <w:tcMar>
              <w:top w:w="15" w:type="dxa"/>
              <w:left w:w="15" w:type="dxa"/>
              <w:bottom w:w="0" w:type="dxa"/>
              <w:right w:w="15" w:type="dxa"/>
            </w:tcMar>
            <w:vAlign w:val="bottom"/>
          </w:tcPr>
          <w:p w:rsidR="00E855C5" w:rsidRDefault="00E855C5">
            <w:pPr>
              <w:jc w:val="center"/>
              <w:rPr>
                <w:rFonts w:ascii="Arial" w:eastAsia="Times New Roman" w:hAnsi="Arial" w:cs="Arial"/>
                <w:b/>
                <w:bCs/>
                <w:sz w:val="20"/>
                <w:szCs w:val="20"/>
              </w:rPr>
            </w:pPr>
          </w:p>
        </w:tc>
        <w:tc>
          <w:tcPr>
            <w:tcW w:w="1340" w:type="dxa"/>
            <w:tcBorders>
              <w:top w:val="single" w:sz="4" w:space="0" w:color="auto"/>
              <w:left w:val="nil"/>
              <w:bottom w:val="nil"/>
              <w:right w:val="nil"/>
            </w:tcBorders>
            <w:tcMar>
              <w:top w:w="15" w:type="dxa"/>
              <w:left w:w="15" w:type="dxa"/>
              <w:bottom w:w="0" w:type="dxa"/>
              <w:right w:w="15" w:type="dxa"/>
            </w:tcMar>
            <w:vAlign w:val="bottom"/>
          </w:tcPr>
          <w:p w:rsidR="00E855C5" w:rsidRDefault="00E855C5">
            <w:pPr>
              <w:rPr>
                <w:rFonts w:ascii="Arial" w:hAnsi="Arial" w:cs="Arial"/>
                <w:sz w:val="20"/>
                <w:szCs w:val="20"/>
              </w:rPr>
            </w:pPr>
          </w:p>
        </w:tc>
      </w:tr>
      <w:tr w:rsidR="00E855C5" w:rsidTr="00E855C5">
        <w:trPr>
          <w:trHeight w:val="255"/>
        </w:trPr>
        <w:tc>
          <w:tcPr>
            <w:tcW w:w="2681" w:type="dxa"/>
            <w:tcMar>
              <w:top w:w="15" w:type="dxa"/>
              <w:left w:w="15" w:type="dxa"/>
              <w:bottom w:w="0" w:type="dxa"/>
              <w:right w:w="15" w:type="dxa"/>
            </w:tcMar>
            <w:vAlign w:val="bottom"/>
          </w:tcPr>
          <w:p w:rsidR="00E855C5" w:rsidRDefault="00E855C5">
            <w:pPr>
              <w:rPr>
                <w:rFonts w:ascii="Arial" w:eastAsia="Arial Unicode MS" w:hAnsi="Arial" w:cs="Arial"/>
                <w:sz w:val="20"/>
                <w:szCs w:val="20"/>
              </w:rPr>
            </w:pPr>
          </w:p>
        </w:tc>
        <w:tc>
          <w:tcPr>
            <w:tcW w:w="1099" w:type="dxa"/>
            <w:tcMar>
              <w:top w:w="15" w:type="dxa"/>
              <w:left w:w="15" w:type="dxa"/>
              <w:bottom w:w="0" w:type="dxa"/>
              <w:right w:w="15" w:type="dxa"/>
            </w:tcMar>
            <w:vAlign w:val="bottom"/>
          </w:tcPr>
          <w:p w:rsidR="00E855C5" w:rsidRDefault="00E855C5">
            <w:pPr>
              <w:rPr>
                <w:rFonts w:ascii="Arial" w:eastAsia="Arial Unicode MS" w:hAnsi="Arial" w:cs="Arial"/>
                <w:sz w:val="20"/>
                <w:szCs w:val="20"/>
              </w:rPr>
            </w:pPr>
          </w:p>
        </w:tc>
        <w:tc>
          <w:tcPr>
            <w:tcW w:w="1280" w:type="dxa"/>
            <w:tcMar>
              <w:top w:w="15" w:type="dxa"/>
              <w:left w:w="15" w:type="dxa"/>
              <w:bottom w:w="0" w:type="dxa"/>
              <w:right w:w="15" w:type="dxa"/>
            </w:tcMar>
            <w:vAlign w:val="bottom"/>
          </w:tcPr>
          <w:p w:rsidR="00E855C5" w:rsidRDefault="00E855C5">
            <w:pPr>
              <w:rPr>
                <w:rFonts w:ascii="Arial" w:eastAsia="Arial Unicode MS" w:hAnsi="Arial" w:cs="Arial"/>
                <w:sz w:val="20"/>
                <w:szCs w:val="20"/>
              </w:rPr>
            </w:pPr>
          </w:p>
        </w:tc>
        <w:tc>
          <w:tcPr>
            <w:tcW w:w="1340" w:type="dxa"/>
            <w:tcMar>
              <w:top w:w="15" w:type="dxa"/>
              <w:left w:w="15" w:type="dxa"/>
              <w:bottom w:w="0" w:type="dxa"/>
              <w:right w:w="15" w:type="dxa"/>
            </w:tcMar>
            <w:vAlign w:val="bottom"/>
          </w:tcPr>
          <w:p w:rsidR="00E855C5" w:rsidRDefault="00E855C5">
            <w:pPr>
              <w:rPr>
                <w:rFonts w:ascii="Arial" w:eastAsia="Arial Unicode MS" w:hAnsi="Arial" w:cs="Arial"/>
                <w:sz w:val="20"/>
                <w:szCs w:val="20"/>
              </w:rPr>
            </w:pPr>
          </w:p>
        </w:tc>
        <w:tc>
          <w:tcPr>
            <w:tcW w:w="1340" w:type="dxa"/>
            <w:tcMar>
              <w:top w:w="15" w:type="dxa"/>
              <w:left w:w="15" w:type="dxa"/>
              <w:bottom w:w="0" w:type="dxa"/>
              <w:right w:w="15" w:type="dxa"/>
            </w:tcMar>
            <w:vAlign w:val="bottom"/>
          </w:tcPr>
          <w:p w:rsidR="00E855C5" w:rsidRDefault="00E855C5">
            <w:pPr>
              <w:rPr>
                <w:rFonts w:ascii="Arial" w:eastAsia="Arial Unicode MS" w:hAnsi="Arial" w:cs="Arial"/>
                <w:sz w:val="20"/>
                <w:szCs w:val="20"/>
              </w:rPr>
            </w:pPr>
          </w:p>
        </w:tc>
        <w:tc>
          <w:tcPr>
            <w:tcW w:w="1340" w:type="dxa"/>
            <w:tcMar>
              <w:top w:w="15" w:type="dxa"/>
              <w:left w:w="15" w:type="dxa"/>
              <w:bottom w:w="0" w:type="dxa"/>
              <w:right w:w="15" w:type="dxa"/>
            </w:tcMar>
            <w:vAlign w:val="bottom"/>
          </w:tcPr>
          <w:p w:rsidR="00E855C5" w:rsidRDefault="00E855C5">
            <w:pPr>
              <w:rPr>
                <w:rFonts w:ascii="Arial" w:eastAsia="Arial Unicode MS" w:hAnsi="Arial" w:cs="Arial"/>
                <w:sz w:val="20"/>
                <w:szCs w:val="20"/>
              </w:rPr>
            </w:pPr>
          </w:p>
        </w:tc>
      </w:tr>
      <w:tr w:rsidR="00E855C5" w:rsidTr="00E855C5">
        <w:trPr>
          <w:trHeight w:val="255"/>
        </w:trPr>
        <w:tc>
          <w:tcPr>
            <w:tcW w:w="26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0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jc w:val="center"/>
              <w:rPr>
                <w:rFonts w:ascii="Arial" w:eastAsia="Arial Unicode MS" w:hAnsi="Arial" w:cs="Arial"/>
                <w:b/>
                <w:bCs/>
                <w:sz w:val="20"/>
                <w:szCs w:val="20"/>
              </w:rPr>
            </w:pPr>
            <w:r>
              <w:rPr>
                <w:rFonts w:ascii="Arial" w:hAnsi="Arial" w:cs="Arial"/>
                <w:b/>
                <w:bCs/>
                <w:sz w:val="20"/>
                <w:szCs w:val="20"/>
              </w:rPr>
              <w:t>Facebook</w:t>
            </w:r>
          </w:p>
        </w:tc>
        <w:tc>
          <w:tcPr>
            <w:tcW w:w="12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jc w:val="center"/>
              <w:rPr>
                <w:rFonts w:ascii="Arial" w:eastAsia="Arial Unicode MS" w:hAnsi="Arial" w:cs="Arial"/>
                <w:b/>
                <w:bCs/>
                <w:sz w:val="20"/>
                <w:szCs w:val="20"/>
              </w:rPr>
            </w:pPr>
            <w:r>
              <w:rPr>
                <w:rFonts w:ascii="Arial" w:hAnsi="Arial" w:cs="Arial"/>
                <w:b/>
                <w:bCs/>
                <w:sz w:val="20"/>
                <w:szCs w:val="20"/>
              </w:rPr>
              <w:t>Twitter</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jc w:val="center"/>
              <w:rPr>
                <w:rFonts w:ascii="Arial" w:eastAsia="Arial Unicode MS" w:hAnsi="Arial" w:cs="Arial"/>
                <w:b/>
                <w:bCs/>
                <w:sz w:val="20"/>
                <w:szCs w:val="20"/>
              </w:rPr>
            </w:pPr>
            <w:r>
              <w:rPr>
                <w:rFonts w:ascii="Arial" w:hAnsi="Arial" w:cs="Arial"/>
                <w:b/>
                <w:bCs/>
                <w:sz w:val="20"/>
                <w:szCs w:val="20"/>
              </w:rPr>
              <w:t>Alphabet</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jc w:val="center"/>
              <w:rPr>
                <w:rFonts w:ascii="Arial" w:eastAsia="Arial Unicode MS" w:hAnsi="Arial" w:cs="Arial"/>
                <w:b/>
                <w:bCs/>
                <w:sz w:val="20"/>
                <w:szCs w:val="20"/>
              </w:rPr>
            </w:pPr>
            <w:r>
              <w:rPr>
                <w:rFonts w:ascii="Arial" w:hAnsi="Arial" w:cs="Arial"/>
                <w:b/>
                <w:bCs/>
                <w:sz w:val="20"/>
                <w:szCs w:val="20"/>
              </w:rPr>
              <w:t>Industry</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jc w:val="center"/>
              <w:rPr>
                <w:rFonts w:ascii="Arial" w:eastAsia="Arial Unicode MS" w:hAnsi="Arial" w:cs="Arial"/>
                <w:b/>
                <w:bCs/>
                <w:sz w:val="20"/>
                <w:szCs w:val="20"/>
              </w:rPr>
            </w:pPr>
            <w:r>
              <w:rPr>
                <w:rFonts w:ascii="Arial" w:hAnsi="Arial" w:cs="Arial"/>
                <w:b/>
                <w:bCs/>
                <w:sz w:val="20"/>
                <w:szCs w:val="20"/>
              </w:rPr>
              <w:t>Assessment</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Liquidity Ratios</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Current Ratio</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11.97</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7.97</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6.29</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S</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Quick Ratio</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15.56</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w:t>
            </w:r>
          </w:p>
        </w:tc>
      </w:tr>
      <w:tr w:rsidR="00E855C5" w:rsidTr="00E855C5">
        <w:trPr>
          <w:trHeight w:val="255"/>
        </w:trPr>
        <w:tc>
          <w:tcPr>
            <w:tcW w:w="2681" w:type="dxa"/>
            <w:tcBorders>
              <w:top w:val="nil"/>
              <w:left w:val="single" w:sz="4" w:space="0" w:color="auto"/>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099"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Asset Utilization Ratios</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Inventory Turnover</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336.84</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DSI</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1.08</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AR Turnover</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6.92</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3.89</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6.34</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S</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DSO (ACP)</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52.75</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93.83</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57.57</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Fixed Asset Turnover</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0.9</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1.14</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1.45</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Total Asset Turnover</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0.43</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0.37</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0.54</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N</w:t>
            </w:r>
          </w:p>
        </w:tc>
      </w:tr>
      <w:tr w:rsidR="00E855C5" w:rsidTr="00E855C5">
        <w:trPr>
          <w:trHeight w:val="255"/>
        </w:trPr>
        <w:tc>
          <w:tcPr>
            <w:tcW w:w="2681" w:type="dxa"/>
            <w:tcBorders>
              <w:top w:val="nil"/>
              <w:left w:val="single" w:sz="4" w:space="0" w:color="auto"/>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099"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Debt Management Ratios</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Debt Ratio</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0.09</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0.33</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0.17</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9253A5">
            <w:pPr>
              <w:rPr>
                <w:rFonts w:ascii="Arial" w:eastAsia="Arial Unicode MS" w:hAnsi="Arial" w:cs="Arial"/>
                <w:sz w:val="20"/>
                <w:szCs w:val="20"/>
              </w:rPr>
            </w:pPr>
            <w:r>
              <w:rPr>
                <w:rFonts w:ascii="Arial" w:hAnsi="Arial" w:cs="Arial"/>
                <w:sz w:val="20"/>
                <w:szCs w:val="20"/>
              </w:rPr>
              <w:t> S</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TIE</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r>
      <w:tr w:rsidR="00E855C5" w:rsidTr="00E855C5">
        <w:trPr>
          <w:trHeight w:val="255"/>
        </w:trPr>
        <w:tc>
          <w:tcPr>
            <w:tcW w:w="2681" w:type="dxa"/>
            <w:tcBorders>
              <w:top w:val="nil"/>
              <w:left w:val="single" w:sz="4" w:space="0" w:color="auto"/>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099"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Profitability Ratios</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Gross Margin</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0.89</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0.63</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0.61</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S</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Operating Margin</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0.52</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-0.15</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0.26</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S</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Profit Margin</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0.37</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-0.18</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0.22</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S</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BEP</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0.19</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-340866/6870365=-0.05</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0.14</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S</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ROA</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0.16</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-0.07</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0.12</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S</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ROE</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0.17</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-0.10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rsidP="009253A5">
            <w:pPr>
              <w:rPr>
                <w:rFonts w:ascii="Arial" w:eastAsia="Arial Unicode MS" w:hAnsi="Arial" w:cs="Arial"/>
                <w:sz w:val="20"/>
                <w:szCs w:val="20"/>
              </w:rPr>
            </w:pPr>
            <w:r>
              <w:rPr>
                <w:rFonts w:ascii="Arial" w:hAnsi="Arial" w:cs="Arial"/>
                <w:sz w:val="20"/>
                <w:szCs w:val="20"/>
              </w:rPr>
              <w:t> 0.14</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S</w:t>
            </w:r>
          </w:p>
        </w:tc>
      </w:tr>
      <w:tr w:rsidR="00E855C5" w:rsidTr="00E855C5">
        <w:trPr>
          <w:trHeight w:val="255"/>
        </w:trPr>
        <w:tc>
          <w:tcPr>
            <w:tcW w:w="2681" w:type="dxa"/>
            <w:tcBorders>
              <w:top w:val="nil"/>
              <w:left w:val="single" w:sz="4" w:space="0" w:color="auto"/>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w:t>
            </w:r>
          </w:p>
        </w:tc>
        <w:tc>
          <w:tcPr>
            <w:tcW w:w="1099"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969696"/>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lastRenderedPageBreak/>
              <w:t>Market Ratios</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P/E </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32.97</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28.45</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S</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P/CF</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r>
      <w:tr w:rsidR="00E855C5" w:rsidTr="00E855C5">
        <w:trPr>
          <w:trHeight w:val="255"/>
        </w:trPr>
        <w:tc>
          <w:tcPr>
            <w:tcW w:w="26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xml:space="preserve">   M/B</w:t>
            </w:r>
          </w:p>
        </w:tc>
        <w:tc>
          <w:tcPr>
            <w:tcW w:w="10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855C5" w:rsidRDefault="00E855C5">
            <w:pPr>
              <w:rPr>
                <w:rFonts w:ascii="Arial" w:eastAsia="Arial Unicode MS" w:hAnsi="Arial" w:cs="Arial"/>
                <w:sz w:val="20"/>
                <w:szCs w:val="20"/>
              </w:rPr>
            </w:pPr>
            <w:r>
              <w:rPr>
                <w:rFonts w:ascii="Arial" w:hAnsi="Arial" w:cs="Arial"/>
                <w:sz w:val="20"/>
                <w:szCs w:val="20"/>
              </w:rPr>
              <w:t> </w:t>
            </w:r>
          </w:p>
        </w:tc>
      </w:tr>
    </w:tbl>
    <w:p w:rsidR="00E855C5" w:rsidRDefault="00E855C5" w:rsidP="00E855C5">
      <w:pPr>
        <w:rPr>
          <w:sz w:val="24"/>
          <w:szCs w:val="24"/>
        </w:rPr>
      </w:pPr>
      <w:r>
        <w:rPr>
          <w:sz w:val="24"/>
          <w:szCs w:val="24"/>
        </w:rPr>
        <w:t>(Source:</w:t>
      </w:r>
      <w:r w:rsidRPr="00E855C5">
        <w:t xml:space="preserve"> </w:t>
      </w:r>
      <w:hyperlink r:id="rId5" w:history="1">
        <w:r w:rsidRPr="00F96254">
          <w:rPr>
            <w:rStyle w:val="Hyperlink"/>
            <w:sz w:val="24"/>
            <w:szCs w:val="24"/>
          </w:rPr>
          <w:t>https://finance.yahoo.com/quote/FB?p=FB</w:t>
        </w:r>
      </w:hyperlink>
    </w:p>
    <w:p w:rsidR="00E855C5" w:rsidRDefault="00251308" w:rsidP="00E855C5">
      <w:pPr>
        <w:rPr>
          <w:sz w:val="24"/>
          <w:szCs w:val="24"/>
        </w:rPr>
      </w:pPr>
      <w:hyperlink r:id="rId6" w:history="1">
        <w:r w:rsidR="00E855C5" w:rsidRPr="00F96254">
          <w:rPr>
            <w:rStyle w:val="Hyperlink"/>
            <w:sz w:val="24"/>
            <w:szCs w:val="24"/>
          </w:rPr>
          <w:t>https://finance.yahoo.com/quote/TWTR?p=TWTR</w:t>
        </w:r>
      </w:hyperlink>
    </w:p>
    <w:p w:rsidR="00E855C5" w:rsidRDefault="00251308" w:rsidP="00E855C5">
      <w:pPr>
        <w:rPr>
          <w:sz w:val="24"/>
          <w:szCs w:val="24"/>
        </w:rPr>
      </w:pPr>
      <w:hyperlink r:id="rId7" w:history="1">
        <w:r w:rsidR="00E855C5" w:rsidRPr="00F96254">
          <w:rPr>
            <w:rStyle w:val="Hyperlink"/>
            <w:sz w:val="24"/>
            <w:szCs w:val="24"/>
          </w:rPr>
          <w:t>https://finance.yahoo.com/quote/GOOGL-USD.SW?p=GOOGL-USD.SW</w:t>
        </w:r>
      </w:hyperlink>
      <w:r w:rsidR="00E855C5">
        <w:rPr>
          <w:sz w:val="24"/>
          <w:szCs w:val="24"/>
        </w:rPr>
        <w:t>)</w:t>
      </w:r>
    </w:p>
    <w:p w:rsidR="00E855C5" w:rsidRDefault="00E855C5" w:rsidP="00E855C5">
      <w:pPr>
        <w:rPr>
          <w:sz w:val="24"/>
          <w:szCs w:val="24"/>
        </w:rPr>
      </w:pPr>
    </w:p>
    <w:p w:rsidR="00E855C5" w:rsidRDefault="00E855C5" w:rsidP="00E855C5">
      <w:pPr>
        <w:rPr>
          <w:sz w:val="24"/>
          <w:szCs w:val="24"/>
        </w:rPr>
      </w:pPr>
    </w:p>
    <w:p w:rsidR="00E855C5" w:rsidRDefault="00E855C5" w:rsidP="00E855C5">
      <w:pPr>
        <w:rPr>
          <w:sz w:val="24"/>
          <w:szCs w:val="24"/>
        </w:rPr>
      </w:pPr>
    </w:p>
    <w:p w:rsidR="00E855C5" w:rsidRDefault="00E855C5" w:rsidP="00E855C5">
      <w:pPr>
        <w:rPr>
          <w:sz w:val="24"/>
          <w:szCs w:val="24"/>
        </w:rPr>
      </w:pPr>
    </w:p>
    <w:p w:rsidR="00E855C5" w:rsidRDefault="00E855C5" w:rsidP="00E855C5">
      <w:pPr>
        <w:rPr>
          <w:sz w:val="24"/>
          <w:szCs w:val="24"/>
        </w:rPr>
      </w:pPr>
    </w:p>
    <w:p w:rsidR="00E855C5" w:rsidRDefault="00E855C5" w:rsidP="00E855C5">
      <w:pPr>
        <w:rPr>
          <w:sz w:val="24"/>
          <w:szCs w:val="24"/>
        </w:rPr>
      </w:pPr>
    </w:p>
    <w:p w:rsidR="005D1888" w:rsidRDefault="005D1888" w:rsidP="00E855C5">
      <w:pPr>
        <w:rPr>
          <w:sz w:val="24"/>
          <w:szCs w:val="24"/>
        </w:rPr>
      </w:pPr>
    </w:p>
    <w:p w:rsidR="00E855C5" w:rsidRPr="00E855C5" w:rsidRDefault="00E855C5" w:rsidP="00E855C5">
      <w:pPr>
        <w:rPr>
          <w:rFonts w:ascii="Times New Roman" w:hAnsi="Times New Roman" w:cs="Times New Roman"/>
          <w:b/>
          <w:sz w:val="28"/>
          <w:szCs w:val="28"/>
        </w:rPr>
      </w:pPr>
      <w:r>
        <w:rPr>
          <w:rFonts w:ascii="Times New Roman" w:hAnsi="Times New Roman" w:cs="Times New Roman"/>
          <w:b/>
          <w:sz w:val="28"/>
          <w:szCs w:val="28"/>
        </w:rPr>
        <w:t>O</w:t>
      </w:r>
      <w:r w:rsidRPr="00E855C5">
        <w:rPr>
          <w:rFonts w:ascii="Times New Roman" w:hAnsi="Times New Roman" w:cs="Times New Roman"/>
          <w:b/>
          <w:sz w:val="28"/>
          <w:szCs w:val="28"/>
        </w:rPr>
        <w:t>verall A</w:t>
      </w:r>
      <w:r>
        <w:rPr>
          <w:rFonts w:ascii="Times New Roman" w:hAnsi="Times New Roman" w:cs="Times New Roman"/>
          <w:b/>
          <w:sz w:val="28"/>
          <w:szCs w:val="28"/>
        </w:rPr>
        <w:t>ssess</w:t>
      </w:r>
      <w:r w:rsidRPr="00E855C5">
        <w:rPr>
          <w:rFonts w:ascii="Times New Roman" w:hAnsi="Times New Roman" w:cs="Times New Roman"/>
          <w:b/>
          <w:sz w:val="28"/>
          <w:szCs w:val="28"/>
        </w:rPr>
        <w:t>ment</w:t>
      </w:r>
      <w:r>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E855C5" w:rsidTr="00E855C5">
        <w:tc>
          <w:tcPr>
            <w:tcW w:w="2952" w:type="dxa"/>
            <w:tcBorders>
              <w:top w:val="single" w:sz="4" w:space="0" w:color="auto"/>
              <w:left w:val="single" w:sz="4" w:space="0" w:color="auto"/>
              <w:bottom w:val="single" w:sz="4" w:space="0" w:color="auto"/>
              <w:right w:val="single" w:sz="4" w:space="0" w:color="auto"/>
            </w:tcBorders>
            <w:hideMark/>
          </w:tcPr>
          <w:p w:rsidR="00E855C5" w:rsidRDefault="00E855C5">
            <w:pPr>
              <w:spacing w:before="480"/>
              <w:jc w:val="center"/>
              <w:rPr>
                <w:b/>
                <w:bCs/>
              </w:rPr>
            </w:pPr>
            <w:r>
              <w:rPr>
                <w:b/>
                <w:bCs/>
              </w:rPr>
              <w:t>Category</w:t>
            </w:r>
          </w:p>
        </w:tc>
        <w:tc>
          <w:tcPr>
            <w:tcW w:w="2952" w:type="dxa"/>
            <w:tcBorders>
              <w:top w:val="single" w:sz="4" w:space="0" w:color="auto"/>
              <w:left w:val="single" w:sz="4" w:space="0" w:color="auto"/>
              <w:bottom w:val="single" w:sz="4" w:space="0" w:color="auto"/>
              <w:right w:val="single" w:sz="4" w:space="0" w:color="auto"/>
            </w:tcBorders>
            <w:hideMark/>
          </w:tcPr>
          <w:p w:rsidR="00E855C5" w:rsidRDefault="00E855C5">
            <w:pPr>
              <w:spacing w:before="480"/>
              <w:jc w:val="center"/>
              <w:rPr>
                <w:b/>
                <w:bCs/>
              </w:rPr>
            </w:pPr>
            <w:r>
              <w:rPr>
                <w:b/>
                <w:bCs/>
              </w:rPr>
              <w:t>Historical: 2015-2016</w:t>
            </w:r>
          </w:p>
        </w:tc>
        <w:tc>
          <w:tcPr>
            <w:tcW w:w="2952" w:type="dxa"/>
            <w:tcBorders>
              <w:top w:val="single" w:sz="4" w:space="0" w:color="auto"/>
              <w:left w:val="single" w:sz="4" w:space="0" w:color="auto"/>
              <w:bottom w:val="single" w:sz="4" w:space="0" w:color="auto"/>
              <w:right w:val="single" w:sz="4" w:space="0" w:color="auto"/>
            </w:tcBorders>
            <w:hideMark/>
          </w:tcPr>
          <w:p w:rsidR="00E855C5" w:rsidRDefault="00D81977">
            <w:pPr>
              <w:spacing w:before="480"/>
              <w:jc w:val="center"/>
              <w:rPr>
                <w:b/>
                <w:bCs/>
              </w:rPr>
            </w:pPr>
            <w:r>
              <w:rPr>
                <w:b/>
                <w:bCs/>
              </w:rPr>
              <w:t>Competitor: 2016</w:t>
            </w:r>
          </w:p>
        </w:tc>
      </w:tr>
      <w:tr w:rsidR="00E855C5" w:rsidTr="00E855C5">
        <w:tc>
          <w:tcPr>
            <w:tcW w:w="2952" w:type="dxa"/>
            <w:tcBorders>
              <w:top w:val="single" w:sz="4" w:space="0" w:color="auto"/>
              <w:left w:val="single" w:sz="4" w:space="0" w:color="auto"/>
              <w:bottom w:val="single" w:sz="4" w:space="0" w:color="auto"/>
              <w:right w:val="single" w:sz="4" w:space="0" w:color="auto"/>
            </w:tcBorders>
            <w:hideMark/>
          </w:tcPr>
          <w:p w:rsidR="00E855C5" w:rsidRDefault="00E855C5">
            <w:pPr>
              <w:spacing w:before="480"/>
            </w:pPr>
            <w:r>
              <w:t>Liquidity</w:t>
            </w:r>
          </w:p>
        </w:tc>
        <w:tc>
          <w:tcPr>
            <w:tcW w:w="2952" w:type="dxa"/>
            <w:tcBorders>
              <w:top w:val="single" w:sz="4" w:space="0" w:color="auto"/>
              <w:left w:val="single" w:sz="4" w:space="0" w:color="auto"/>
              <w:bottom w:val="single" w:sz="4" w:space="0" w:color="auto"/>
              <w:right w:val="single" w:sz="4" w:space="0" w:color="auto"/>
            </w:tcBorders>
            <w:hideMark/>
          </w:tcPr>
          <w:p w:rsidR="00E855C5" w:rsidRPr="00E855C5" w:rsidRDefault="00E855C5">
            <w:pPr>
              <w:pStyle w:val="Heading1"/>
              <w:rPr>
                <w:rFonts w:eastAsia="SimSun"/>
                <w:color w:val="000000" w:themeColor="text1"/>
              </w:rPr>
            </w:pPr>
            <w:r w:rsidRPr="00E855C5">
              <w:rPr>
                <w:rFonts w:eastAsia="SimSun"/>
                <w:color w:val="000000" w:themeColor="text1"/>
              </w:rPr>
              <w:t>Positive</w:t>
            </w:r>
          </w:p>
        </w:tc>
        <w:tc>
          <w:tcPr>
            <w:tcW w:w="2952" w:type="dxa"/>
            <w:tcBorders>
              <w:top w:val="single" w:sz="4" w:space="0" w:color="auto"/>
              <w:left w:val="single" w:sz="4" w:space="0" w:color="auto"/>
              <w:bottom w:val="single" w:sz="4" w:space="0" w:color="auto"/>
              <w:right w:val="single" w:sz="4" w:space="0" w:color="auto"/>
            </w:tcBorders>
            <w:hideMark/>
          </w:tcPr>
          <w:p w:rsidR="00E855C5" w:rsidRPr="00E855C5" w:rsidRDefault="00E855C5">
            <w:pPr>
              <w:pStyle w:val="Heading1"/>
              <w:rPr>
                <w:rFonts w:eastAsia="SimSun"/>
                <w:b w:val="0"/>
                <w:color w:val="000000" w:themeColor="text1"/>
              </w:rPr>
            </w:pPr>
            <w:r w:rsidRPr="00E855C5">
              <w:rPr>
                <w:rFonts w:eastAsia="SimSun"/>
                <w:b w:val="0"/>
                <w:color w:val="000000" w:themeColor="text1"/>
              </w:rPr>
              <w:t>Neutral</w:t>
            </w:r>
          </w:p>
        </w:tc>
      </w:tr>
      <w:tr w:rsidR="00E855C5" w:rsidTr="00E855C5">
        <w:tc>
          <w:tcPr>
            <w:tcW w:w="2952" w:type="dxa"/>
            <w:tcBorders>
              <w:top w:val="single" w:sz="4" w:space="0" w:color="auto"/>
              <w:left w:val="single" w:sz="4" w:space="0" w:color="auto"/>
              <w:bottom w:val="single" w:sz="4" w:space="0" w:color="auto"/>
              <w:right w:val="single" w:sz="4" w:space="0" w:color="auto"/>
            </w:tcBorders>
            <w:hideMark/>
          </w:tcPr>
          <w:p w:rsidR="00E855C5" w:rsidRDefault="00E855C5">
            <w:pPr>
              <w:spacing w:before="480"/>
              <w:rPr>
                <w:rFonts w:eastAsia="SimSun"/>
              </w:rPr>
            </w:pPr>
            <w:r>
              <w:t>Asset Utilization</w:t>
            </w:r>
          </w:p>
        </w:tc>
        <w:tc>
          <w:tcPr>
            <w:tcW w:w="2952" w:type="dxa"/>
            <w:tcBorders>
              <w:top w:val="single" w:sz="4" w:space="0" w:color="auto"/>
              <w:left w:val="single" w:sz="4" w:space="0" w:color="auto"/>
              <w:bottom w:val="single" w:sz="4" w:space="0" w:color="auto"/>
              <w:right w:val="single" w:sz="4" w:space="0" w:color="auto"/>
            </w:tcBorders>
            <w:hideMark/>
          </w:tcPr>
          <w:p w:rsidR="00E855C5" w:rsidRPr="00E855C5" w:rsidRDefault="00E855C5">
            <w:pPr>
              <w:spacing w:before="480"/>
              <w:rPr>
                <w:rFonts w:ascii="Times New Roman" w:hAnsi="Times New Roman" w:cs="Times New Roman"/>
                <w:color w:val="000000" w:themeColor="text1"/>
                <w:sz w:val="24"/>
                <w:szCs w:val="24"/>
              </w:rPr>
            </w:pPr>
            <w:r w:rsidRPr="00E855C5">
              <w:rPr>
                <w:rFonts w:ascii="Times New Roman" w:hAnsi="Times New Roman" w:cs="Times New Roman"/>
                <w:color w:val="000000" w:themeColor="text1"/>
                <w:sz w:val="24"/>
                <w:szCs w:val="24"/>
              </w:rPr>
              <w:t>Neutral</w:t>
            </w:r>
          </w:p>
        </w:tc>
        <w:tc>
          <w:tcPr>
            <w:tcW w:w="2952" w:type="dxa"/>
            <w:tcBorders>
              <w:top w:val="single" w:sz="4" w:space="0" w:color="auto"/>
              <w:left w:val="single" w:sz="4" w:space="0" w:color="auto"/>
              <w:bottom w:val="single" w:sz="4" w:space="0" w:color="auto"/>
              <w:right w:val="single" w:sz="4" w:space="0" w:color="auto"/>
            </w:tcBorders>
            <w:hideMark/>
          </w:tcPr>
          <w:p w:rsidR="00E855C5" w:rsidRPr="00E855C5" w:rsidRDefault="00E855C5">
            <w:pPr>
              <w:pStyle w:val="Heading1"/>
              <w:rPr>
                <w:rFonts w:eastAsia="SimSun"/>
                <w:color w:val="000000" w:themeColor="text1"/>
              </w:rPr>
            </w:pPr>
            <w:r w:rsidRPr="00E855C5">
              <w:rPr>
                <w:rFonts w:eastAsia="SimSun"/>
                <w:color w:val="000000" w:themeColor="text1"/>
              </w:rPr>
              <w:t>Weakness</w:t>
            </w:r>
          </w:p>
        </w:tc>
      </w:tr>
      <w:tr w:rsidR="00E855C5" w:rsidTr="00E855C5">
        <w:tc>
          <w:tcPr>
            <w:tcW w:w="2952" w:type="dxa"/>
            <w:tcBorders>
              <w:top w:val="single" w:sz="4" w:space="0" w:color="auto"/>
              <w:left w:val="single" w:sz="4" w:space="0" w:color="auto"/>
              <w:bottom w:val="single" w:sz="4" w:space="0" w:color="auto"/>
              <w:right w:val="single" w:sz="4" w:space="0" w:color="auto"/>
            </w:tcBorders>
            <w:hideMark/>
          </w:tcPr>
          <w:p w:rsidR="00E855C5" w:rsidRDefault="00E855C5">
            <w:pPr>
              <w:spacing w:before="480"/>
              <w:rPr>
                <w:rFonts w:eastAsia="SimSun"/>
              </w:rPr>
            </w:pPr>
            <w:r>
              <w:t>Debt Management</w:t>
            </w:r>
          </w:p>
        </w:tc>
        <w:tc>
          <w:tcPr>
            <w:tcW w:w="2952" w:type="dxa"/>
            <w:tcBorders>
              <w:top w:val="single" w:sz="4" w:space="0" w:color="auto"/>
              <w:left w:val="single" w:sz="4" w:space="0" w:color="auto"/>
              <w:bottom w:val="single" w:sz="4" w:space="0" w:color="auto"/>
              <w:right w:val="single" w:sz="4" w:space="0" w:color="auto"/>
            </w:tcBorders>
            <w:hideMark/>
          </w:tcPr>
          <w:p w:rsidR="00E855C5" w:rsidRPr="00E855C5" w:rsidRDefault="00E855C5">
            <w:pPr>
              <w:pStyle w:val="Heading1"/>
              <w:rPr>
                <w:rFonts w:eastAsia="SimSun"/>
                <w:color w:val="000000" w:themeColor="text1"/>
              </w:rPr>
            </w:pPr>
            <w:r w:rsidRPr="00E855C5">
              <w:rPr>
                <w:rFonts w:eastAsia="SimSun"/>
                <w:color w:val="000000" w:themeColor="text1"/>
              </w:rPr>
              <w:t>Positive</w:t>
            </w:r>
          </w:p>
        </w:tc>
        <w:tc>
          <w:tcPr>
            <w:tcW w:w="2952" w:type="dxa"/>
            <w:tcBorders>
              <w:top w:val="single" w:sz="4" w:space="0" w:color="auto"/>
              <w:left w:val="single" w:sz="4" w:space="0" w:color="auto"/>
              <w:bottom w:val="single" w:sz="4" w:space="0" w:color="auto"/>
              <w:right w:val="single" w:sz="4" w:space="0" w:color="auto"/>
            </w:tcBorders>
            <w:hideMark/>
          </w:tcPr>
          <w:p w:rsidR="00E855C5" w:rsidRPr="00E855C5" w:rsidRDefault="00E855C5">
            <w:pPr>
              <w:pStyle w:val="Heading1"/>
              <w:rPr>
                <w:rFonts w:eastAsia="SimSun"/>
                <w:color w:val="000000" w:themeColor="text1"/>
              </w:rPr>
            </w:pPr>
            <w:r w:rsidRPr="00E855C5">
              <w:rPr>
                <w:rFonts w:eastAsia="SimSun"/>
                <w:color w:val="000000" w:themeColor="text1"/>
              </w:rPr>
              <w:t>Strength</w:t>
            </w:r>
          </w:p>
        </w:tc>
      </w:tr>
      <w:tr w:rsidR="00E855C5" w:rsidTr="00E855C5">
        <w:tc>
          <w:tcPr>
            <w:tcW w:w="2952" w:type="dxa"/>
            <w:tcBorders>
              <w:top w:val="single" w:sz="4" w:space="0" w:color="auto"/>
              <w:left w:val="single" w:sz="4" w:space="0" w:color="auto"/>
              <w:bottom w:val="single" w:sz="4" w:space="0" w:color="auto"/>
              <w:right w:val="single" w:sz="4" w:space="0" w:color="auto"/>
            </w:tcBorders>
            <w:hideMark/>
          </w:tcPr>
          <w:p w:rsidR="00E855C5" w:rsidRDefault="00E855C5">
            <w:pPr>
              <w:spacing w:before="480"/>
              <w:rPr>
                <w:rFonts w:eastAsia="SimSun"/>
              </w:rPr>
            </w:pPr>
            <w:r>
              <w:t>Profitability</w:t>
            </w:r>
          </w:p>
        </w:tc>
        <w:tc>
          <w:tcPr>
            <w:tcW w:w="2952" w:type="dxa"/>
            <w:tcBorders>
              <w:top w:val="single" w:sz="4" w:space="0" w:color="auto"/>
              <w:left w:val="single" w:sz="4" w:space="0" w:color="auto"/>
              <w:bottom w:val="single" w:sz="4" w:space="0" w:color="auto"/>
              <w:right w:val="single" w:sz="4" w:space="0" w:color="auto"/>
            </w:tcBorders>
            <w:hideMark/>
          </w:tcPr>
          <w:p w:rsidR="00E855C5" w:rsidRPr="00E855C5" w:rsidRDefault="00E855C5">
            <w:pPr>
              <w:spacing w:before="480"/>
              <w:rPr>
                <w:rFonts w:ascii="Times New Roman" w:hAnsi="Times New Roman" w:cs="Times New Roman"/>
                <w:color w:val="000000" w:themeColor="text1"/>
                <w:sz w:val="24"/>
                <w:szCs w:val="24"/>
              </w:rPr>
            </w:pPr>
            <w:r w:rsidRPr="00E855C5">
              <w:rPr>
                <w:rFonts w:ascii="Times New Roman" w:hAnsi="Times New Roman" w:cs="Times New Roman"/>
                <w:b/>
                <w:bCs/>
                <w:color w:val="000000" w:themeColor="text1"/>
                <w:sz w:val="24"/>
                <w:szCs w:val="24"/>
              </w:rPr>
              <w:t>Positive</w:t>
            </w:r>
          </w:p>
        </w:tc>
        <w:tc>
          <w:tcPr>
            <w:tcW w:w="2952" w:type="dxa"/>
            <w:tcBorders>
              <w:top w:val="single" w:sz="4" w:space="0" w:color="auto"/>
              <w:left w:val="single" w:sz="4" w:space="0" w:color="auto"/>
              <w:bottom w:val="single" w:sz="4" w:space="0" w:color="auto"/>
              <w:right w:val="single" w:sz="4" w:space="0" w:color="auto"/>
            </w:tcBorders>
            <w:hideMark/>
          </w:tcPr>
          <w:p w:rsidR="00E855C5" w:rsidRPr="00E855C5" w:rsidRDefault="00E855C5">
            <w:pPr>
              <w:spacing w:before="480"/>
              <w:rPr>
                <w:rFonts w:ascii="Times New Roman" w:hAnsi="Times New Roman" w:cs="Times New Roman"/>
                <w:color w:val="000000" w:themeColor="text1"/>
                <w:sz w:val="24"/>
                <w:szCs w:val="24"/>
              </w:rPr>
            </w:pPr>
            <w:r w:rsidRPr="00E855C5">
              <w:rPr>
                <w:rFonts w:ascii="Times New Roman" w:hAnsi="Times New Roman" w:cs="Times New Roman"/>
                <w:b/>
                <w:bCs/>
                <w:color w:val="000000" w:themeColor="text1"/>
                <w:sz w:val="24"/>
                <w:szCs w:val="24"/>
              </w:rPr>
              <w:t>Strength</w:t>
            </w:r>
            <w:r w:rsidRPr="00E855C5">
              <w:rPr>
                <w:rFonts w:ascii="Times New Roman" w:hAnsi="Times New Roman" w:cs="Times New Roman"/>
                <w:color w:val="000000" w:themeColor="text1"/>
                <w:sz w:val="24"/>
                <w:szCs w:val="24"/>
              </w:rPr>
              <w:br/>
            </w:r>
          </w:p>
        </w:tc>
      </w:tr>
      <w:tr w:rsidR="00E855C5" w:rsidTr="00E855C5">
        <w:tc>
          <w:tcPr>
            <w:tcW w:w="2952" w:type="dxa"/>
            <w:tcBorders>
              <w:top w:val="single" w:sz="4" w:space="0" w:color="auto"/>
              <w:left w:val="single" w:sz="4" w:space="0" w:color="auto"/>
              <w:bottom w:val="single" w:sz="4" w:space="0" w:color="auto"/>
              <w:right w:val="single" w:sz="4" w:space="0" w:color="auto"/>
            </w:tcBorders>
            <w:hideMark/>
          </w:tcPr>
          <w:p w:rsidR="00E855C5" w:rsidRDefault="00E855C5">
            <w:pPr>
              <w:spacing w:before="480"/>
            </w:pPr>
            <w:r>
              <w:t>Market</w:t>
            </w:r>
          </w:p>
        </w:tc>
        <w:tc>
          <w:tcPr>
            <w:tcW w:w="2952" w:type="dxa"/>
            <w:tcBorders>
              <w:top w:val="single" w:sz="4" w:space="0" w:color="auto"/>
              <w:left w:val="single" w:sz="4" w:space="0" w:color="auto"/>
              <w:bottom w:val="single" w:sz="4" w:space="0" w:color="auto"/>
              <w:right w:val="single" w:sz="4" w:space="0" w:color="auto"/>
            </w:tcBorders>
            <w:hideMark/>
          </w:tcPr>
          <w:p w:rsidR="00E855C5" w:rsidRPr="00E855C5" w:rsidRDefault="00E855C5">
            <w:pPr>
              <w:pStyle w:val="Heading1"/>
              <w:rPr>
                <w:rFonts w:eastAsia="SimSun"/>
                <w:color w:val="000000" w:themeColor="text1"/>
              </w:rPr>
            </w:pPr>
            <w:r w:rsidRPr="00E855C5">
              <w:rPr>
                <w:rFonts w:eastAsia="SimSun"/>
                <w:color w:val="000000" w:themeColor="text1"/>
              </w:rPr>
              <w:t>Negative</w:t>
            </w:r>
          </w:p>
        </w:tc>
        <w:tc>
          <w:tcPr>
            <w:tcW w:w="2952" w:type="dxa"/>
            <w:tcBorders>
              <w:top w:val="single" w:sz="4" w:space="0" w:color="auto"/>
              <w:left w:val="single" w:sz="4" w:space="0" w:color="auto"/>
              <w:bottom w:val="single" w:sz="4" w:space="0" w:color="auto"/>
              <w:right w:val="single" w:sz="4" w:space="0" w:color="auto"/>
            </w:tcBorders>
            <w:hideMark/>
          </w:tcPr>
          <w:p w:rsidR="00E855C5" w:rsidRPr="00E855C5" w:rsidRDefault="00E855C5">
            <w:pPr>
              <w:pStyle w:val="Heading1"/>
              <w:rPr>
                <w:rFonts w:eastAsia="SimSun"/>
                <w:color w:val="000000" w:themeColor="text1"/>
              </w:rPr>
            </w:pPr>
            <w:r w:rsidRPr="00E855C5">
              <w:rPr>
                <w:rFonts w:eastAsia="SimSun"/>
                <w:color w:val="000000" w:themeColor="text1"/>
              </w:rPr>
              <w:t>Strength</w:t>
            </w:r>
          </w:p>
        </w:tc>
      </w:tr>
    </w:tbl>
    <w:p w:rsidR="00E855C5" w:rsidRDefault="00E855C5" w:rsidP="00E855C5">
      <w:pPr>
        <w:rPr>
          <w:sz w:val="24"/>
          <w:szCs w:val="24"/>
        </w:rPr>
      </w:pPr>
    </w:p>
    <w:p w:rsidR="00FD2915" w:rsidRDefault="00FD2915" w:rsidP="00251308">
      <w:pPr>
        <w:pStyle w:val="Title"/>
        <w:spacing w:before="120" w:after="0" w:line="480" w:lineRule="auto"/>
        <w:ind w:firstLine="720"/>
        <w:jc w:val="left"/>
        <w:rPr>
          <w:bCs/>
          <w:sz w:val="24"/>
        </w:rPr>
      </w:pPr>
      <w:r>
        <w:rPr>
          <w:bCs/>
          <w:sz w:val="24"/>
        </w:rPr>
        <w:t>During the 2015-2017 period, Facebook has a strong financial statement. There is a positive trend on current ratio during period, which means that Facebook can pay off its debts as they due in the coming year. Facebook has an excellent credit on financial debt. Because Facebook never sells something, it has no inventory figures shows up on yahoo finance statement. Therefore, I cannot calculate quick ratio, inventory turnover ratio, and day’s sales in inventory ratio on asset utilization part. In asset utilization part, there are negati</w:t>
      </w:r>
      <w:r w:rsidR="009253A5">
        <w:rPr>
          <w:bCs/>
          <w:sz w:val="24"/>
        </w:rPr>
        <w:t xml:space="preserve">ve trend on </w:t>
      </w:r>
      <w:r>
        <w:rPr>
          <w:bCs/>
          <w:sz w:val="24"/>
        </w:rPr>
        <w:t>account receivable</w:t>
      </w:r>
      <w:r w:rsidR="009253A5">
        <w:rPr>
          <w:bCs/>
          <w:sz w:val="24"/>
        </w:rPr>
        <w:t xml:space="preserve"> turnover</w:t>
      </w:r>
      <w:r>
        <w:rPr>
          <w:bCs/>
          <w:sz w:val="24"/>
        </w:rPr>
        <w:t>. The reason why the trend is negative, it is because there is less time the asset is t</w:t>
      </w:r>
      <w:r w:rsidR="009253A5">
        <w:rPr>
          <w:bCs/>
          <w:sz w:val="24"/>
        </w:rPr>
        <w:t>urned over during the period. There is a short</w:t>
      </w:r>
      <w:r>
        <w:rPr>
          <w:bCs/>
          <w:sz w:val="24"/>
        </w:rPr>
        <w:t xml:space="preserve"> average time that Facebook must wait after making a credit sale to receive cash. For fixed asset turnover ratio and total asset turnover ratio, there is a slight increase on both. It shows that Facebook uses its plant, equipment, and other assets effectively. The debt ratio has a slight decrease first during 2015-2016, and then it has a minor increase during 2016-2017. All components in profitability ratios include gross margin ratio, operating margin ratio, profit margin ratio, basic earning power ratio, return on common equity ratio, and return on total asset ratio has positive trends. It reflects that the net result of all the financing policies and operating decisions are perfect during the period. The net profits are higher than before, and the cost of revenue are also higher than before, but the company uses materials more effectively. The market value ratio of Facebook, which relates the firm’s stock price to its earnings, cash flow, and book value per share. There is a significant negative trend on price/earnings ratio from 2015 to 2016, which determines there are less investors are willing to pay per dollar of reported profits. </w:t>
      </w:r>
    </w:p>
    <w:p w:rsidR="00FD2915" w:rsidRPr="00FD2915" w:rsidRDefault="00FD2915" w:rsidP="00251308">
      <w:pPr>
        <w:spacing w:before="240" w:line="480" w:lineRule="auto"/>
        <w:ind w:firstLine="720"/>
        <w:rPr>
          <w:rFonts w:ascii="Times New Roman" w:hAnsi="Times New Roman" w:cs="Times New Roman"/>
          <w:sz w:val="24"/>
          <w:szCs w:val="24"/>
        </w:rPr>
      </w:pPr>
      <w:r w:rsidRPr="00FD2915">
        <w:rPr>
          <w:rFonts w:ascii="Times New Roman" w:hAnsi="Times New Roman" w:cs="Times New Roman"/>
          <w:sz w:val="24"/>
          <w:szCs w:val="24"/>
        </w:rPr>
        <w:t xml:space="preserve">During the 2015-2016 period, Facebook experienced positive trends on liquidity, debt management, and profitability ratios; however, its market ratio decreased. Facebook maintained </w:t>
      </w:r>
      <w:r w:rsidRPr="00FD2915">
        <w:rPr>
          <w:rFonts w:ascii="Times New Roman" w:hAnsi="Times New Roman" w:cs="Times New Roman"/>
          <w:sz w:val="24"/>
          <w:szCs w:val="24"/>
        </w:rPr>
        <w:lastRenderedPageBreak/>
        <w:t xml:space="preserve">its asset utilization ratio in 2015. Comparing with Facebook’s competitors, Facebook has strength on debt management, profitability, and market ratios. It seems like the possibility of investing Facebook by investors will be </w:t>
      </w:r>
      <w:r>
        <w:rPr>
          <w:rFonts w:ascii="Times New Roman" w:hAnsi="Times New Roman" w:cs="Times New Roman"/>
          <w:sz w:val="24"/>
          <w:szCs w:val="24"/>
        </w:rPr>
        <w:t>higher</w:t>
      </w:r>
      <w:r w:rsidRPr="00FD2915">
        <w:rPr>
          <w:rFonts w:ascii="Times New Roman" w:hAnsi="Times New Roman" w:cs="Times New Roman"/>
          <w:sz w:val="24"/>
          <w:szCs w:val="24"/>
        </w:rPr>
        <w:t xml:space="preserve"> than its competitors.</w:t>
      </w:r>
      <w:r>
        <w:rPr>
          <w:rFonts w:ascii="Times New Roman" w:hAnsi="Times New Roman" w:cs="Times New Roman"/>
          <w:sz w:val="24"/>
          <w:szCs w:val="24"/>
        </w:rPr>
        <w:t xml:space="preserve"> </w:t>
      </w:r>
      <w:r w:rsidRPr="00FD2915">
        <w:rPr>
          <w:rFonts w:ascii="Times New Roman" w:hAnsi="Times New Roman" w:cs="Times New Roman"/>
          <w:sz w:val="24"/>
          <w:szCs w:val="24"/>
        </w:rPr>
        <w:t xml:space="preserve">However, its competitors strong in asset utilization. Their liquidity ratio has neutral trends in 2015. </w:t>
      </w:r>
    </w:p>
    <w:p w:rsidR="00FD2915" w:rsidRDefault="00FD2915" w:rsidP="00251308">
      <w:pPr>
        <w:spacing w:line="480" w:lineRule="auto"/>
        <w:rPr>
          <w:sz w:val="24"/>
          <w:szCs w:val="24"/>
        </w:rPr>
      </w:pPr>
    </w:p>
    <w:p w:rsidR="00FD2915" w:rsidRDefault="00FD2915" w:rsidP="00251308">
      <w:pPr>
        <w:spacing w:line="480" w:lineRule="auto"/>
        <w:rPr>
          <w:b/>
          <w:sz w:val="28"/>
          <w:szCs w:val="28"/>
        </w:rPr>
      </w:pPr>
      <w:r w:rsidRPr="00FD2915">
        <w:rPr>
          <w:b/>
          <w:sz w:val="28"/>
          <w:szCs w:val="28"/>
        </w:rPr>
        <w:t>Recommendations:</w:t>
      </w:r>
    </w:p>
    <w:p w:rsidR="00FD2915" w:rsidRDefault="00FD2915" w:rsidP="002513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though, comparing the P/E ratio of Facebook with its competitors’, Facebook has strength in recent years, Facebook still needs to focus on its performance because of low P/E ratios year after year. </w:t>
      </w:r>
      <w:r w:rsidR="00F36558">
        <w:rPr>
          <w:rFonts w:ascii="Times New Roman" w:hAnsi="Times New Roman" w:cs="Times New Roman"/>
          <w:sz w:val="24"/>
          <w:szCs w:val="24"/>
        </w:rPr>
        <w:t>Facebook should renovate its cost structure by reducing some costs or adding some costs. The company needs to pay attention to the account receivable turnover by increasing sales or decreasing account receivable.</w:t>
      </w:r>
      <w:r w:rsidR="00294E68">
        <w:rPr>
          <w:rFonts w:ascii="Times New Roman" w:hAnsi="Times New Roman" w:cs="Times New Roman"/>
          <w:sz w:val="24"/>
          <w:szCs w:val="24"/>
        </w:rPr>
        <w:t xml:space="preserve"> The PE ratio keeps lower in recent years, which reflecting there are less investors who are willing to pay per dollar of reported profits. Facebook needs to strong its growth prospects and decrease the level of risk for investors to get into it.</w:t>
      </w:r>
      <w:r w:rsidR="00D81977">
        <w:rPr>
          <w:rFonts w:ascii="Times New Roman" w:hAnsi="Times New Roman" w:cs="Times New Roman"/>
          <w:sz w:val="24"/>
          <w:szCs w:val="24"/>
        </w:rPr>
        <w:t xml:space="preserve"> Facebook still needs to work on its asset utilization by reducing its assets to sales ratio.</w:t>
      </w:r>
    </w:p>
    <w:p w:rsidR="00D81977" w:rsidRDefault="00D81977" w:rsidP="00D81977">
      <w:pPr>
        <w:rPr>
          <w:rFonts w:ascii="Times New Roman" w:hAnsi="Times New Roman" w:cs="Times New Roman"/>
          <w:sz w:val="24"/>
          <w:szCs w:val="24"/>
        </w:rPr>
      </w:pPr>
    </w:p>
    <w:p w:rsidR="00D81977" w:rsidRDefault="00D81977" w:rsidP="00D81977">
      <w:pPr>
        <w:rPr>
          <w:rFonts w:ascii="Times New Roman" w:hAnsi="Times New Roman" w:cs="Times New Roman"/>
          <w:sz w:val="24"/>
          <w:szCs w:val="24"/>
        </w:rPr>
      </w:pPr>
    </w:p>
    <w:p w:rsidR="00D81977" w:rsidRDefault="00D81977" w:rsidP="00D81977">
      <w:pPr>
        <w:rPr>
          <w:rFonts w:ascii="Times New Roman" w:hAnsi="Times New Roman" w:cs="Times New Roman"/>
          <w:sz w:val="24"/>
          <w:szCs w:val="24"/>
        </w:rPr>
      </w:pPr>
    </w:p>
    <w:p w:rsidR="00D81977" w:rsidRDefault="00D81977" w:rsidP="00D81977">
      <w:pPr>
        <w:jc w:val="center"/>
        <w:rPr>
          <w:rFonts w:ascii="Times New Roman" w:hAnsi="Times New Roman" w:cs="Times New Roman"/>
          <w:b/>
          <w:sz w:val="28"/>
          <w:szCs w:val="28"/>
        </w:rPr>
      </w:pPr>
      <w:r w:rsidRPr="00D81977">
        <w:rPr>
          <w:rFonts w:ascii="Times New Roman" w:hAnsi="Times New Roman" w:cs="Times New Roman"/>
          <w:b/>
          <w:sz w:val="28"/>
          <w:szCs w:val="28"/>
        </w:rPr>
        <w:t>Balanced Scorecard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448"/>
        <w:gridCol w:w="4068"/>
      </w:tblGrid>
      <w:tr w:rsidR="00D81977" w:rsidTr="00D81977">
        <w:tc>
          <w:tcPr>
            <w:tcW w:w="2340" w:type="dxa"/>
            <w:tcBorders>
              <w:top w:val="single" w:sz="4" w:space="0" w:color="auto"/>
              <w:left w:val="single" w:sz="4" w:space="0" w:color="auto"/>
              <w:bottom w:val="single" w:sz="4" w:space="0" w:color="auto"/>
              <w:right w:val="single" w:sz="4" w:space="0" w:color="auto"/>
            </w:tcBorders>
            <w:hideMark/>
          </w:tcPr>
          <w:p w:rsidR="00D81977" w:rsidRDefault="00D81977">
            <w:pPr>
              <w:pStyle w:val="BodyText"/>
              <w:tabs>
                <w:tab w:val="left" w:pos="360"/>
                <w:tab w:val="left" w:pos="720"/>
                <w:tab w:val="left" w:pos="1080"/>
                <w:tab w:val="left" w:pos="1440"/>
              </w:tabs>
              <w:spacing w:before="240"/>
              <w:jc w:val="center"/>
              <w:rPr>
                <w:b/>
              </w:rPr>
            </w:pPr>
            <w:r>
              <w:rPr>
                <w:b/>
              </w:rPr>
              <w:t>Perspective</w:t>
            </w:r>
          </w:p>
        </w:tc>
        <w:tc>
          <w:tcPr>
            <w:tcW w:w="2448"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center"/>
              <w:rPr>
                <w:b/>
              </w:rPr>
            </w:pPr>
            <w:r>
              <w:rPr>
                <w:b/>
              </w:rPr>
              <w:t>Goal</w:t>
            </w:r>
          </w:p>
          <w:p w:rsidR="00D81977" w:rsidRDefault="00D81977">
            <w:pPr>
              <w:pStyle w:val="BodyText"/>
              <w:tabs>
                <w:tab w:val="left" w:pos="360"/>
                <w:tab w:val="left" w:pos="720"/>
                <w:tab w:val="left" w:pos="1080"/>
                <w:tab w:val="left" w:pos="1440"/>
              </w:tabs>
              <w:spacing w:before="240"/>
              <w:jc w:val="center"/>
              <w:rPr>
                <w:bCs/>
              </w:rPr>
            </w:pPr>
          </w:p>
        </w:tc>
        <w:tc>
          <w:tcPr>
            <w:tcW w:w="4068"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center"/>
              <w:rPr>
                <w:b/>
              </w:rPr>
            </w:pPr>
            <w:r>
              <w:rPr>
                <w:b/>
              </w:rPr>
              <w:t>Measurement</w:t>
            </w:r>
          </w:p>
          <w:p w:rsidR="00D81977" w:rsidRDefault="00D81977">
            <w:pPr>
              <w:pStyle w:val="BodyText"/>
              <w:tabs>
                <w:tab w:val="left" w:pos="360"/>
                <w:tab w:val="left" w:pos="720"/>
                <w:tab w:val="left" w:pos="1080"/>
                <w:tab w:val="left" w:pos="1440"/>
              </w:tabs>
              <w:spacing w:before="240"/>
              <w:jc w:val="center"/>
              <w:rPr>
                <w:bCs/>
              </w:rPr>
            </w:pPr>
          </w:p>
        </w:tc>
      </w:tr>
      <w:tr w:rsidR="00D81977" w:rsidTr="00D81977">
        <w:tc>
          <w:tcPr>
            <w:tcW w:w="2340" w:type="dxa"/>
            <w:tcBorders>
              <w:top w:val="single" w:sz="4" w:space="0" w:color="auto"/>
              <w:left w:val="single" w:sz="4" w:space="0" w:color="auto"/>
              <w:bottom w:val="single" w:sz="4" w:space="0" w:color="auto"/>
              <w:right w:val="single" w:sz="4" w:space="0" w:color="auto"/>
            </w:tcBorders>
            <w:hideMark/>
          </w:tcPr>
          <w:p w:rsidR="00D81977" w:rsidRDefault="00D81977">
            <w:pPr>
              <w:pStyle w:val="BodyText"/>
              <w:tabs>
                <w:tab w:val="left" w:pos="360"/>
                <w:tab w:val="left" w:pos="720"/>
                <w:tab w:val="left" w:pos="1080"/>
                <w:tab w:val="left" w:pos="1440"/>
              </w:tabs>
              <w:spacing w:before="240"/>
              <w:jc w:val="left"/>
              <w:rPr>
                <w:b/>
              </w:rPr>
            </w:pPr>
            <w:r>
              <w:rPr>
                <w:b/>
              </w:rPr>
              <w:t>FINANCIAL</w:t>
            </w:r>
          </w:p>
        </w:tc>
        <w:tc>
          <w:tcPr>
            <w:tcW w:w="2448" w:type="dxa"/>
            <w:tcBorders>
              <w:top w:val="single" w:sz="4" w:space="0" w:color="auto"/>
              <w:left w:val="single" w:sz="4" w:space="0" w:color="auto"/>
              <w:bottom w:val="single" w:sz="4" w:space="0" w:color="auto"/>
              <w:right w:val="single" w:sz="4" w:space="0" w:color="auto"/>
            </w:tcBorders>
            <w:hideMark/>
          </w:tcPr>
          <w:p w:rsidR="00D81977" w:rsidRDefault="00D81977">
            <w:pPr>
              <w:pStyle w:val="BodyText"/>
              <w:tabs>
                <w:tab w:val="left" w:pos="360"/>
                <w:tab w:val="left" w:pos="720"/>
                <w:tab w:val="left" w:pos="1080"/>
                <w:tab w:val="left" w:pos="1440"/>
              </w:tabs>
              <w:spacing w:before="240"/>
              <w:jc w:val="left"/>
              <w:rPr>
                <w:bCs/>
              </w:rPr>
            </w:pPr>
            <w:r>
              <w:rPr>
                <w:bCs/>
              </w:rPr>
              <w:t>Firm Growth &amp;</w:t>
            </w:r>
            <w:r>
              <w:rPr>
                <w:bCs/>
              </w:rPr>
              <w:br/>
              <w:t xml:space="preserve"> Profitability</w:t>
            </w:r>
          </w:p>
        </w:tc>
        <w:tc>
          <w:tcPr>
            <w:tcW w:w="4068" w:type="dxa"/>
            <w:tcBorders>
              <w:top w:val="single" w:sz="4" w:space="0" w:color="auto"/>
              <w:left w:val="single" w:sz="4" w:space="0" w:color="auto"/>
              <w:bottom w:val="single" w:sz="4" w:space="0" w:color="auto"/>
              <w:right w:val="single" w:sz="4" w:space="0" w:color="auto"/>
            </w:tcBorders>
          </w:tcPr>
          <w:p w:rsidR="00D81977" w:rsidRDefault="00BA34A4">
            <w:pPr>
              <w:pStyle w:val="BodyText"/>
              <w:tabs>
                <w:tab w:val="left" w:pos="360"/>
                <w:tab w:val="left" w:pos="720"/>
                <w:tab w:val="left" w:pos="1080"/>
                <w:tab w:val="left" w:pos="1440"/>
              </w:tabs>
              <w:spacing w:before="240"/>
              <w:jc w:val="left"/>
              <w:rPr>
                <w:bCs/>
              </w:rPr>
            </w:pPr>
            <w:r>
              <w:rPr>
                <w:bCs/>
              </w:rPr>
              <w:t>Gross Margin&gt;89%</w:t>
            </w:r>
          </w:p>
        </w:tc>
      </w:tr>
      <w:tr w:rsidR="00D81977" w:rsidTr="00D81977">
        <w:tc>
          <w:tcPr>
            <w:tcW w:w="2340"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c>
          <w:tcPr>
            <w:tcW w:w="2448"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c>
          <w:tcPr>
            <w:tcW w:w="4068"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r>
              <w:rPr>
                <w:bCs/>
              </w:rPr>
              <w:t xml:space="preserve">Profit </w:t>
            </w:r>
            <w:r w:rsidR="00BA34A4">
              <w:rPr>
                <w:bCs/>
              </w:rPr>
              <w:t>M</w:t>
            </w:r>
            <w:r>
              <w:rPr>
                <w:bCs/>
              </w:rPr>
              <w:t>argin</w:t>
            </w:r>
            <w:r w:rsidR="00BA34A4">
              <w:rPr>
                <w:bCs/>
              </w:rPr>
              <w:t>&gt;37%</w:t>
            </w:r>
          </w:p>
        </w:tc>
      </w:tr>
      <w:tr w:rsidR="00D81977" w:rsidTr="00D81977">
        <w:tc>
          <w:tcPr>
            <w:tcW w:w="2340"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c>
          <w:tcPr>
            <w:tcW w:w="2448"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c>
          <w:tcPr>
            <w:tcW w:w="4068" w:type="dxa"/>
            <w:tcBorders>
              <w:top w:val="single" w:sz="4" w:space="0" w:color="auto"/>
              <w:left w:val="single" w:sz="4" w:space="0" w:color="auto"/>
              <w:bottom w:val="single" w:sz="4" w:space="0" w:color="auto"/>
              <w:right w:val="single" w:sz="4" w:space="0" w:color="auto"/>
            </w:tcBorders>
          </w:tcPr>
          <w:p w:rsidR="00D81977" w:rsidRDefault="00967F45">
            <w:pPr>
              <w:pStyle w:val="BodyText"/>
              <w:tabs>
                <w:tab w:val="left" w:pos="360"/>
                <w:tab w:val="left" w:pos="720"/>
                <w:tab w:val="left" w:pos="1080"/>
                <w:tab w:val="left" w:pos="1440"/>
              </w:tabs>
              <w:spacing w:before="240"/>
              <w:jc w:val="left"/>
              <w:rPr>
                <w:bCs/>
              </w:rPr>
            </w:pPr>
            <w:r>
              <w:rPr>
                <w:bCs/>
              </w:rPr>
              <w:t>Operating Margin&gt;52%</w:t>
            </w:r>
          </w:p>
        </w:tc>
      </w:tr>
      <w:tr w:rsidR="00D81977" w:rsidTr="00D81977">
        <w:tc>
          <w:tcPr>
            <w:tcW w:w="2340"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c>
          <w:tcPr>
            <w:tcW w:w="2448"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c>
          <w:tcPr>
            <w:tcW w:w="4068"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r>
      <w:tr w:rsidR="00D81977" w:rsidTr="00D81977">
        <w:tc>
          <w:tcPr>
            <w:tcW w:w="2340" w:type="dxa"/>
            <w:tcBorders>
              <w:top w:val="single" w:sz="4" w:space="0" w:color="auto"/>
              <w:left w:val="single" w:sz="4" w:space="0" w:color="auto"/>
              <w:bottom w:val="single" w:sz="4" w:space="0" w:color="auto"/>
              <w:right w:val="single" w:sz="4" w:space="0" w:color="auto"/>
            </w:tcBorders>
            <w:hideMark/>
          </w:tcPr>
          <w:p w:rsidR="00D81977" w:rsidRDefault="00D81977">
            <w:pPr>
              <w:pStyle w:val="BodyText"/>
              <w:tabs>
                <w:tab w:val="left" w:pos="360"/>
                <w:tab w:val="left" w:pos="720"/>
                <w:tab w:val="left" w:pos="1080"/>
                <w:tab w:val="left" w:pos="1440"/>
              </w:tabs>
              <w:spacing w:before="240"/>
              <w:jc w:val="left"/>
              <w:rPr>
                <w:b/>
              </w:rPr>
            </w:pPr>
            <w:r>
              <w:rPr>
                <w:b/>
              </w:rPr>
              <w:t>CUSTOMER</w:t>
            </w:r>
          </w:p>
        </w:tc>
        <w:tc>
          <w:tcPr>
            <w:tcW w:w="2448" w:type="dxa"/>
            <w:tcBorders>
              <w:top w:val="single" w:sz="4" w:space="0" w:color="auto"/>
              <w:left w:val="single" w:sz="4" w:space="0" w:color="auto"/>
              <w:bottom w:val="single" w:sz="4" w:space="0" w:color="auto"/>
              <w:right w:val="single" w:sz="4" w:space="0" w:color="auto"/>
            </w:tcBorders>
            <w:hideMark/>
          </w:tcPr>
          <w:p w:rsidR="00D81977" w:rsidRDefault="00D81977">
            <w:pPr>
              <w:pStyle w:val="BodyText"/>
              <w:tabs>
                <w:tab w:val="left" w:pos="360"/>
                <w:tab w:val="left" w:pos="720"/>
                <w:tab w:val="left" w:pos="1080"/>
                <w:tab w:val="left" w:pos="1440"/>
              </w:tabs>
              <w:spacing w:before="240"/>
              <w:jc w:val="left"/>
              <w:rPr>
                <w:bCs/>
              </w:rPr>
            </w:pPr>
            <w:r>
              <w:rPr>
                <w:bCs/>
              </w:rPr>
              <w:t>Value Creation &amp; Satisfaction</w:t>
            </w:r>
          </w:p>
        </w:tc>
        <w:tc>
          <w:tcPr>
            <w:tcW w:w="4068" w:type="dxa"/>
            <w:tcBorders>
              <w:top w:val="single" w:sz="4" w:space="0" w:color="auto"/>
              <w:left w:val="single" w:sz="4" w:space="0" w:color="auto"/>
              <w:bottom w:val="single" w:sz="4" w:space="0" w:color="auto"/>
              <w:right w:val="single" w:sz="4" w:space="0" w:color="auto"/>
            </w:tcBorders>
            <w:hideMark/>
          </w:tcPr>
          <w:p w:rsidR="00D81977" w:rsidRDefault="00D81977">
            <w:pPr>
              <w:pStyle w:val="BodyText"/>
              <w:tabs>
                <w:tab w:val="left" w:pos="360"/>
                <w:tab w:val="left" w:pos="720"/>
                <w:tab w:val="left" w:pos="1080"/>
                <w:tab w:val="left" w:pos="1440"/>
              </w:tabs>
              <w:spacing w:before="240"/>
              <w:jc w:val="left"/>
              <w:rPr>
                <w:rFonts w:eastAsia="SimSun"/>
                <w:bCs/>
                <w:lang w:eastAsia="zh-CN"/>
              </w:rPr>
            </w:pPr>
            <w:r>
              <w:rPr>
                <w:rFonts w:eastAsia="SimSun"/>
                <w:bCs/>
                <w:lang w:eastAsia="zh-CN"/>
              </w:rPr>
              <w:t xml:space="preserve">Customer Service rating </w:t>
            </w:r>
          </w:p>
        </w:tc>
      </w:tr>
      <w:tr w:rsidR="00D81977" w:rsidTr="00D81977">
        <w:tc>
          <w:tcPr>
            <w:tcW w:w="2340"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c>
          <w:tcPr>
            <w:tcW w:w="2448"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c>
          <w:tcPr>
            <w:tcW w:w="4068" w:type="dxa"/>
            <w:tcBorders>
              <w:top w:val="single" w:sz="4" w:space="0" w:color="auto"/>
              <w:left w:val="single" w:sz="4" w:space="0" w:color="auto"/>
              <w:bottom w:val="single" w:sz="4" w:space="0" w:color="auto"/>
              <w:right w:val="single" w:sz="4" w:space="0" w:color="auto"/>
            </w:tcBorders>
            <w:hideMark/>
          </w:tcPr>
          <w:p w:rsidR="00D81977" w:rsidRDefault="00266256">
            <w:pPr>
              <w:pStyle w:val="BodyText"/>
              <w:tabs>
                <w:tab w:val="left" w:pos="360"/>
                <w:tab w:val="left" w:pos="720"/>
                <w:tab w:val="left" w:pos="1080"/>
                <w:tab w:val="left" w:pos="1440"/>
              </w:tabs>
              <w:spacing w:before="240"/>
              <w:jc w:val="left"/>
              <w:rPr>
                <w:rFonts w:eastAsia="SimSun"/>
                <w:bCs/>
                <w:lang w:eastAsia="zh-CN"/>
              </w:rPr>
            </w:pPr>
            <w:r>
              <w:rPr>
                <w:rFonts w:eastAsia="SimSun"/>
                <w:bCs/>
                <w:lang w:eastAsia="zh-CN"/>
              </w:rPr>
              <w:t>Market share index</w:t>
            </w:r>
          </w:p>
        </w:tc>
      </w:tr>
      <w:tr w:rsidR="00D81977" w:rsidTr="00D81977">
        <w:tc>
          <w:tcPr>
            <w:tcW w:w="2340"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c>
          <w:tcPr>
            <w:tcW w:w="2448"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c>
          <w:tcPr>
            <w:tcW w:w="4068"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r>
      <w:tr w:rsidR="00D81977" w:rsidTr="00D81977">
        <w:tc>
          <w:tcPr>
            <w:tcW w:w="2340"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c>
          <w:tcPr>
            <w:tcW w:w="2448"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c>
          <w:tcPr>
            <w:tcW w:w="4068"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r>
      <w:tr w:rsidR="00D81977" w:rsidTr="00D81977">
        <w:tc>
          <w:tcPr>
            <w:tcW w:w="2340" w:type="dxa"/>
            <w:tcBorders>
              <w:top w:val="single" w:sz="4" w:space="0" w:color="auto"/>
              <w:left w:val="single" w:sz="4" w:space="0" w:color="auto"/>
              <w:bottom w:val="single" w:sz="4" w:space="0" w:color="auto"/>
              <w:right w:val="single" w:sz="4" w:space="0" w:color="auto"/>
            </w:tcBorders>
            <w:hideMark/>
          </w:tcPr>
          <w:p w:rsidR="00D81977" w:rsidRDefault="00D81977">
            <w:pPr>
              <w:pStyle w:val="BodyText"/>
              <w:tabs>
                <w:tab w:val="left" w:pos="360"/>
                <w:tab w:val="left" w:pos="720"/>
                <w:tab w:val="left" w:pos="1080"/>
                <w:tab w:val="left" w:pos="1440"/>
              </w:tabs>
              <w:spacing w:before="240"/>
              <w:jc w:val="left"/>
              <w:rPr>
                <w:b/>
              </w:rPr>
            </w:pPr>
            <w:r>
              <w:rPr>
                <w:b/>
              </w:rPr>
              <w:t>INTERNAL BUSINESS PROCESSES</w:t>
            </w:r>
          </w:p>
        </w:tc>
        <w:tc>
          <w:tcPr>
            <w:tcW w:w="2448" w:type="dxa"/>
            <w:tcBorders>
              <w:top w:val="single" w:sz="4" w:space="0" w:color="auto"/>
              <w:left w:val="single" w:sz="4" w:space="0" w:color="auto"/>
              <w:bottom w:val="single" w:sz="4" w:space="0" w:color="auto"/>
              <w:right w:val="single" w:sz="4" w:space="0" w:color="auto"/>
            </w:tcBorders>
            <w:hideMark/>
          </w:tcPr>
          <w:p w:rsidR="00D81977" w:rsidRDefault="00D81977">
            <w:pPr>
              <w:pStyle w:val="BodyText"/>
              <w:tabs>
                <w:tab w:val="left" w:pos="360"/>
                <w:tab w:val="left" w:pos="720"/>
                <w:tab w:val="left" w:pos="1080"/>
                <w:tab w:val="left" w:pos="1440"/>
              </w:tabs>
              <w:spacing w:before="240"/>
              <w:jc w:val="left"/>
              <w:rPr>
                <w:bCs/>
              </w:rPr>
            </w:pPr>
            <w:r>
              <w:rPr>
                <w:bCs/>
              </w:rPr>
              <w:t>Organizational Efficiency</w:t>
            </w:r>
          </w:p>
        </w:tc>
        <w:tc>
          <w:tcPr>
            <w:tcW w:w="4068" w:type="dxa"/>
            <w:tcBorders>
              <w:top w:val="single" w:sz="4" w:space="0" w:color="auto"/>
              <w:left w:val="single" w:sz="4" w:space="0" w:color="auto"/>
              <w:bottom w:val="single" w:sz="4" w:space="0" w:color="auto"/>
              <w:right w:val="single" w:sz="4" w:space="0" w:color="auto"/>
            </w:tcBorders>
          </w:tcPr>
          <w:p w:rsidR="00D81977" w:rsidRDefault="00266256">
            <w:pPr>
              <w:pStyle w:val="BodyText"/>
              <w:tabs>
                <w:tab w:val="left" w:pos="360"/>
                <w:tab w:val="left" w:pos="720"/>
                <w:tab w:val="left" w:pos="1080"/>
                <w:tab w:val="left" w:pos="1440"/>
              </w:tabs>
              <w:spacing w:before="240"/>
              <w:jc w:val="left"/>
              <w:rPr>
                <w:bCs/>
              </w:rPr>
            </w:pPr>
            <w:r>
              <w:rPr>
                <w:bCs/>
              </w:rPr>
              <w:t>New links, articles, or videos</w:t>
            </w:r>
          </w:p>
        </w:tc>
      </w:tr>
      <w:tr w:rsidR="00D81977" w:rsidTr="00D81977">
        <w:tc>
          <w:tcPr>
            <w:tcW w:w="2340"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rFonts w:eastAsia="SimSun"/>
                <w:b/>
                <w:lang w:eastAsia="zh-CN"/>
              </w:rPr>
            </w:pPr>
          </w:p>
        </w:tc>
        <w:tc>
          <w:tcPr>
            <w:tcW w:w="2448"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c>
          <w:tcPr>
            <w:tcW w:w="4068" w:type="dxa"/>
            <w:tcBorders>
              <w:top w:val="single" w:sz="4" w:space="0" w:color="auto"/>
              <w:left w:val="single" w:sz="4" w:space="0" w:color="auto"/>
              <w:bottom w:val="single" w:sz="4" w:space="0" w:color="auto"/>
              <w:right w:val="single" w:sz="4" w:space="0" w:color="auto"/>
            </w:tcBorders>
          </w:tcPr>
          <w:p w:rsidR="00D81977" w:rsidRDefault="00266256">
            <w:pPr>
              <w:pStyle w:val="BodyText"/>
              <w:tabs>
                <w:tab w:val="left" w:pos="360"/>
                <w:tab w:val="left" w:pos="720"/>
                <w:tab w:val="left" w:pos="1080"/>
                <w:tab w:val="left" w:pos="1440"/>
              </w:tabs>
              <w:spacing w:before="240"/>
              <w:jc w:val="left"/>
              <w:rPr>
                <w:bCs/>
              </w:rPr>
            </w:pPr>
            <w:r>
              <w:rPr>
                <w:bCs/>
              </w:rPr>
              <w:t>Brand awareness</w:t>
            </w:r>
          </w:p>
        </w:tc>
      </w:tr>
      <w:tr w:rsidR="00D81977" w:rsidTr="00D81977">
        <w:tc>
          <w:tcPr>
            <w:tcW w:w="2340"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
              </w:rPr>
            </w:pPr>
          </w:p>
        </w:tc>
        <w:tc>
          <w:tcPr>
            <w:tcW w:w="2448"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c>
          <w:tcPr>
            <w:tcW w:w="4068"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r>
      <w:tr w:rsidR="00D81977" w:rsidTr="00D81977">
        <w:tc>
          <w:tcPr>
            <w:tcW w:w="2340"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c>
          <w:tcPr>
            <w:tcW w:w="2448"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c>
          <w:tcPr>
            <w:tcW w:w="4068"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r>
      <w:tr w:rsidR="00D81977" w:rsidTr="00D81977">
        <w:tc>
          <w:tcPr>
            <w:tcW w:w="2340" w:type="dxa"/>
            <w:tcBorders>
              <w:top w:val="single" w:sz="4" w:space="0" w:color="auto"/>
              <w:left w:val="single" w:sz="4" w:space="0" w:color="auto"/>
              <w:bottom w:val="single" w:sz="4" w:space="0" w:color="auto"/>
              <w:right w:val="single" w:sz="4" w:space="0" w:color="auto"/>
            </w:tcBorders>
            <w:hideMark/>
          </w:tcPr>
          <w:p w:rsidR="00D81977" w:rsidRDefault="00D81977">
            <w:pPr>
              <w:pStyle w:val="BodyText"/>
              <w:tabs>
                <w:tab w:val="left" w:pos="360"/>
                <w:tab w:val="left" w:pos="720"/>
                <w:tab w:val="left" w:pos="1080"/>
                <w:tab w:val="left" w:pos="1440"/>
              </w:tabs>
              <w:spacing w:before="240"/>
              <w:jc w:val="left"/>
              <w:rPr>
                <w:b/>
              </w:rPr>
            </w:pPr>
            <w:r>
              <w:rPr>
                <w:b/>
              </w:rPr>
              <w:t>LEARNING &amp; GROWTH</w:t>
            </w:r>
            <w:r>
              <w:rPr>
                <w:rFonts w:eastAsia="SimSun"/>
                <w:bCs/>
                <w:lang w:eastAsia="zh-CN"/>
              </w:rPr>
              <w:t xml:space="preserve"> (employees)</w:t>
            </w:r>
          </w:p>
        </w:tc>
        <w:tc>
          <w:tcPr>
            <w:tcW w:w="2448" w:type="dxa"/>
            <w:tcBorders>
              <w:top w:val="single" w:sz="4" w:space="0" w:color="auto"/>
              <w:left w:val="single" w:sz="4" w:space="0" w:color="auto"/>
              <w:bottom w:val="single" w:sz="4" w:space="0" w:color="auto"/>
              <w:right w:val="single" w:sz="4" w:space="0" w:color="auto"/>
            </w:tcBorders>
            <w:hideMark/>
          </w:tcPr>
          <w:p w:rsidR="00D81977" w:rsidRDefault="00D81977">
            <w:pPr>
              <w:pStyle w:val="BodyText"/>
              <w:tabs>
                <w:tab w:val="left" w:pos="360"/>
                <w:tab w:val="left" w:pos="720"/>
                <w:tab w:val="left" w:pos="1080"/>
                <w:tab w:val="left" w:pos="1440"/>
              </w:tabs>
              <w:spacing w:before="240"/>
              <w:jc w:val="left"/>
              <w:rPr>
                <w:bCs/>
              </w:rPr>
            </w:pPr>
            <w:r>
              <w:rPr>
                <w:bCs/>
              </w:rPr>
              <w:t>Climate that Supports Change, Innovation, and Growth</w:t>
            </w:r>
          </w:p>
        </w:tc>
        <w:tc>
          <w:tcPr>
            <w:tcW w:w="4068" w:type="dxa"/>
            <w:tcBorders>
              <w:top w:val="single" w:sz="4" w:space="0" w:color="auto"/>
              <w:left w:val="single" w:sz="4" w:space="0" w:color="auto"/>
              <w:bottom w:val="single" w:sz="4" w:space="0" w:color="auto"/>
              <w:right w:val="single" w:sz="4" w:space="0" w:color="auto"/>
            </w:tcBorders>
          </w:tcPr>
          <w:p w:rsidR="00D81977" w:rsidRDefault="00D81977">
            <w:pPr>
              <w:pStyle w:val="BodyText"/>
              <w:tabs>
                <w:tab w:val="left" w:pos="360"/>
                <w:tab w:val="left" w:pos="720"/>
                <w:tab w:val="left" w:pos="1080"/>
                <w:tab w:val="left" w:pos="1440"/>
              </w:tabs>
              <w:spacing w:before="240"/>
              <w:jc w:val="left"/>
              <w:rPr>
                <w:bCs/>
              </w:rPr>
            </w:pPr>
          </w:p>
        </w:tc>
      </w:tr>
      <w:tr w:rsidR="00967F45" w:rsidTr="00D81977">
        <w:tc>
          <w:tcPr>
            <w:tcW w:w="2340" w:type="dxa"/>
            <w:tcBorders>
              <w:top w:val="single" w:sz="4" w:space="0" w:color="auto"/>
              <w:left w:val="single" w:sz="4" w:space="0" w:color="auto"/>
              <w:bottom w:val="single" w:sz="4" w:space="0" w:color="auto"/>
              <w:right w:val="single" w:sz="4" w:space="0" w:color="auto"/>
            </w:tcBorders>
            <w:hideMark/>
          </w:tcPr>
          <w:p w:rsidR="00967F45" w:rsidRDefault="00967F45" w:rsidP="00967F45">
            <w:pPr>
              <w:pStyle w:val="BodyText"/>
              <w:tabs>
                <w:tab w:val="left" w:pos="360"/>
                <w:tab w:val="left" w:pos="720"/>
                <w:tab w:val="left" w:pos="1080"/>
                <w:tab w:val="left" w:pos="1440"/>
              </w:tabs>
              <w:spacing w:before="240"/>
              <w:jc w:val="left"/>
              <w:rPr>
                <w:rFonts w:eastAsia="SimSun"/>
                <w:bCs/>
                <w:lang w:eastAsia="zh-CN"/>
              </w:rPr>
            </w:pPr>
            <w:r>
              <w:rPr>
                <w:rFonts w:eastAsia="SimSun"/>
                <w:bCs/>
                <w:lang w:eastAsia="zh-CN"/>
              </w:rPr>
              <w:t>community</w:t>
            </w:r>
          </w:p>
        </w:tc>
        <w:tc>
          <w:tcPr>
            <w:tcW w:w="2448" w:type="dxa"/>
            <w:tcBorders>
              <w:top w:val="single" w:sz="4" w:space="0" w:color="auto"/>
              <w:left w:val="single" w:sz="4" w:space="0" w:color="auto"/>
              <w:bottom w:val="single" w:sz="4" w:space="0" w:color="auto"/>
              <w:right w:val="single" w:sz="4" w:space="0" w:color="auto"/>
            </w:tcBorders>
          </w:tcPr>
          <w:p w:rsidR="00967F45" w:rsidRDefault="00967F45" w:rsidP="00967F45">
            <w:pPr>
              <w:pStyle w:val="BodyText"/>
              <w:tabs>
                <w:tab w:val="left" w:pos="360"/>
                <w:tab w:val="left" w:pos="720"/>
                <w:tab w:val="left" w:pos="1080"/>
                <w:tab w:val="left" w:pos="1440"/>
              </w:tabs>
              <w:spacing w:before="240"/>
              <w:jc w:val="left"/>
              <w:rPr>
                <w:rFonts w:eastAsia="SimSun"/>
                <w:bCs/>
                <w:lang w:eastAsia="zh-CN"/>
              </w:rPr>
            </w:pPr>
            <w:r>
              <w:rPr>
                <w:rFonts w:eastAsia="SimSun"/>
                <w:bCs/>
                <w:lang w:eastAsia="zh-CN"/>
              </w:rPr>
              <w:t>satisfaction</w:t>
            </w:r>
          </w:p>
        </w:tc>
        <w:tc>
          <w:tcPr>
            <w:tcW w:w="4068" w:type="dxa"/>
            <w:tcBorders>
              <w:top w:val="single" w:sz="4" w:space="0" w:color="auto"/>
              <w:left w:val="single" w:sz="4" w:space="0" w:color="auto"/>
              <w:bottom w:val="single" w:sz="4" w:space="0" w:color="auto"/>
              <w:right w:val="single" w:sz="4" w:space="0" w:color="auto"/>
            </w:tcBorders>
          </w:tcPr>
          <w:p w:rsidR="00967F45" w:rsidRDefault="00266256" w:rsidP="00967F45">
            <w:pPr>
              <w:pStyle w:val="BodyText"/>
              <w:tabs>
                <w:tab w:val="left" w:pos="360"/>
                <w:tab w:val="left" w:pos="720"/>
                <w:tab w:val="left" w:pos="1080"/>
                <w:tab w:val="left" w:pos="1440"/>
              </w:tabs>
              <w:spacing w:before="240"/>
              <w:jc w:val="left"/>
              <w:rPr>
                <w:bCs/>
              </w:rPr>
            </w:pPr>
            <w:r>
              <w:rPr>
                <w:bCs/>
              </w:rPr>
              <w:t>Increase engagement during weekdays and business hours</w:t>
            </w:r>
          </w:p>
        </w:tc>
      </w:tr>
      <w:tr w:rsidR="00967F45" w:rsidTr="00967F45">
        <w:tc>
          <w:tcPr>
            <w:tcW w:w="2340" w:type="dxa"/>
            <w:tcBorders>
              <w:top w:val="single" w:sz="4" w:space="0" w:color="auto"/>
              <w:left w:val="single" w:sz="4" w:space="0" w:color="auto"/>
              <w:bottom w:val="single" w:sz="4" w:space="0" w:color="auto"/>
              <w:right w:val="single" w:sz="4" w:space="0" w:color="auto"/>
            </w:tcBorders>
          </w:tcPr>
          <w:p w:rsidR="00967F45" w:rsidRDefault="00967F45" w:rsidP="00967F45">
            <w:pPr>
              <w:pStyle w:val="BodyText"/>
              <w:tabs>
                <w:tab w:val="left" w:pos="360"/>
                <w:tab w:val="left" w:pos="720"/>
                <w:tab w:val="left" w:pos="1080"/>
                <w:tab w:val="left" w:pos="1440"/>
              </w:tabs>
              <w:spacing w:before="240"/>
              <w:jc w:val="left"/>
              <w:rPr>
                <w:rFonts w:eastAsia="SimSun"/>
                <w:bCs/>
                <w:lang w:eastAsia="zh-CN"/>
              </w:rPr>
            </w:pPr>
            <w:r>
              <w:rPr>
                <w:rFonts w:eastAsia="SimSun"/>
                <w:bCs/>
                <w:lang w:eastAsia="zh-CN"/>
              </w:rPr>
              <w:t>suppliers</w:t>
            </w:r>
          </w:p>
        </w:tc>
        <w:tc>
          <w:tcPr>
            <w:tcW w:w="2448" w:type="dxa"/>
            <w:tcBorders>
              <w:top w:val="single" w:sz="4" w:space="0" w:color="auto"/>
              <w:left w:val="single" w:sz="4" w:space="0" w:color="auto"/>
              <w:bottom w:val="single" w:sz="4" w:space="0" w:color="auto"/>
              <w:right w:val="single" w:sz="4" w:space="0" w:color="auto"/>
            </w:tcBorders>
          </w:tcPr>
          <w:p w:rsidR="00967F45" w:rsidRDefault="00967F45" w:rsidP="00967F45">
            <w:pPr>
              <w:pStyle w:val="BodyText"/>
              <w:tabs>
                <w:tab w:val="left" w:pos="360"/>
                <w:tab w:val="left" w:pos="720"/>
                <w:tab w:val="left" w:pos="1080"/>
                <w:tab w:val="left" w:pos="1440"/>
              </w:tabs>
              <w:spacing w:before="240"/>
              <w:jc w:val="left"/>
              <w:rPr>
                <w:bCs/>
              </w:rPr>
            </w:pPr>
            <w:r>
              <w:rPr>
                <w:bCs/>
              </w:rPr>
              <w:t>satisfaction</w:t>
            </w:r>
          </w:p>
        </w:tc>
        <w:tc>
          <w:tcPr>
            <w:tcW w:w="4068" w:type="dxa"/>
            <w:tcBorders>
              <w:top w:val="single" w:sz="4" w:space="0" w:color="auto"/>
              <w:left w:val="single" w:sz="4" w:space="0" w:color="auto"/>
              <w:bottom w:val="single" w:sz="4" w:space="0" w:color="auto"/>
              <w:right w:val="single" w:sz="4" w:space="0" w:color="auto"/>
            </w:tcBorders>
          </w:tcPr>
          <w:p w:rsidR="00967F45" w:rsidRDefault="00266256" w:rsidP="00967F45">
            <w:pPr>
              <w:pStyle w:val="BodyText"/>
              <w:tabs>
                <w:tab w:val="left" w:pos="360"/>
                <w:tab w:val="left" w:pos="720"/>
                <w:tab w:val="left" w:pos="1080"/>
                <w:tab w:val="left" w:pos="1440"/>
              </w:tabs>
              <w:spacing w:before="240"/>
              <w:jc w:val="left"/>
              <w:rPr>
                <w:bCs/>
              </w:rPr>
            </w:pPr>
            <w:r>
              <w:rPr>
                <w:bCs/>
              </w:rPr>
              <w:t>Create more link based content than posts to increase engagement</w:t>
            </w:r>
          </w:p>
        </w:tc>
      </w:tr>
      <w:tr w:rsidR="00967F45" w:rsidTr="00967F45">
        <w:tc>
          <w:tcPr>
            <w:tcW w:w="2340" w:type="dxa"/>
            <w:tcBorders>
              <w:top w:val="single" w:sz="4" w:space="0" w:color="auto"/>
              <w:left w:val="single" w:sz="4" w:space="0" w:color="auto"/>
              <w:bottom w:val="single" w:sz="4" w:space="0" w:color="auto"/>
              <w:right w:val="single" w:sz="4" w:space="0" w:color="auto"/>
            </w:tcBorders>
          </w:tcPr>
          <w:p w:rsidR="00967F45" w:rsidRDefault="00967F45" w:rsidP="00967F45">
            <w:pPr>
              <w:pStyle w:val="BodyText"/>
              <w:tabs>
                <w:tab w:val="left" w:pos="360"/>
                <w:tab w:val="left" w:pos="720"/>
                <w:tab w:val="left" w:pos="1080"/>
                <w:tab w:val="left" w:pos="1440"/>
              </w:tabs>
              <w:spacing w:before="240"/>
              <w:jc w:val="left"/>
              <w:rPr>
                <w:rFonts w:eastAsia="SimSun"/>
                <w:bCs/>
                <w:lang w:eastAsia="zh-CN"/>
              </w:rPr>
            </w:pPr>
          </w:p>
        </w:tc>
        <w:tc>
          <w:tcPr>
            <w:tcW w:w="2448" w:type="dxa"/>
            <w:tcBorders>
              <w:top w:val="single" w:sz="4" w:space="0" w:color="auto"/>
              <w:left w:val="single" w:sz="4" w:space="0" w:color="auto"/>
              <w:bottom w:val="single" w:sz="4" w:space="0" w:color="auto"/>
              <w:right w:val="single" w:sz="4" w:space="0" w:color="auto"/>
            </w:tcBorders>
          </w:tcPr>
          <w:p w:rsidR="00967F45" w:rsidRDefault="00967F45" w:rsidP="00967F45">
            <w:pPr>
              <w:pStyle w:val="BodyText"/>
              <w:tabs>
                <w:tab w:val="left" w:pos="360"/>
                <w:tab w:val="left" w:pos="720"/>
                <w:tab w:val="left" w:pos="1080"/>
                <w:tab w:val="left" w:pos="1440"/>
              </w:tabs>
              <w:spacing w:before="240"/>
              <w:jc w:val="left"/>
              <w:rPr>
                <w:bCs/>
              </w:rPr>
            </w:pPr>
          </w:p>
        </w:tc>
        <w:tc>
          <w:tcPr>
            <w:tcW w:w="4068" w:type="dxa"/>
            <w:tcBorders>
              <w:top w:val="single" w:sz="4" w:space="0" w:color="auto"/>
              <w:left w:val="single" w:sz="4" w:space="0" w:color="auto"/>
              <w:bottom w:val="single" w:sz="4" w:space="0" w:color="auto"/>
              <w:right w:val="single" w:sz="4" w:space="0" w:color="auto"/>
            </w:tcBorders>
          </w:tcPr>
          <w:p w:rsidR="00967F45" w:rsidRDefault="00967F45" w:rsidP="00967F45">
            <w:pPr>
              <w:pStyle w:val="BodyText"/>
              <w:tabs>
                <w:tab w:val="left" w:pos="360"/>
                <w:tab w:val="left" w:pos="720"/>
                <w:tab w:val="left" w:pos="1080"/>
                <w:tab w:val="left" w:pos="1440"/>
              </w:tabs>
              <w:spacing w:before="240"/>
              <w:jc w:val="left"/>
              <w:rPr>
                <w:bCs/>
              </w:rPr>
            </w:pPr>
          </w:p>
        </w:tc>
      </w:tr>
    </w:tbl>
    <w:p w:rsidR="00D81977" w:rsidRDefault="00D81977" w:rsidP="00D81977">
      <w:pPr>
        <w:rPr>
          <w:rFonts w:ascii="Times New Roman" w:hAnsi="Times New Roman" w:cs="Times New Roman"/>
          <w:sz w:val="24"/>
          <w:szCs w:val="24"/>
        </w:rPr>
      </w:pPr>
    </w:p>
    <w:p w:rsidR="00B212CD" w:rsidRDefault="00967F45" w:rsidP="00D81977">
      <w:pPr>
        <w:rPr>
          <w:rFonts w:ascii="Times New Roman" w:hAnsi="Times New Roman" w:cs="Times New Roman"/>
          <w:sz w:val="24"/>
          <w:szCs w:val="24"/>
        </w:rPr>
      </w:pPr>
      <w:r>
        <w:rPr>
          <w:rFonts w:ascii="Times New Roman" w:hAnsi="Times New Roman" w:cs="Times New Roman"/>
          <w:sz w:val="24"/>
          <w:szCs w:val="24"/>
        </w:rPr>
        <w:t xml:space="preserve">Summary: </w:t>
      </w:r>
      <w:r w:rsidR="00B212CD">
        <w:rPr>
          <w:rFonts w:ascii="Times New Roman" w:hAnsi="Times New Roman" w:cs="Times New Roman"/>
          <w:sz w:val="24"/>
          <w:szCs w:val="24"/>
        </w:rPr>
        <w:t xml:space="preserve">balanced scorecard shows the company’s future goals. The profit margin should higher than 37%, and the gross margin should higher than 89%. The overall customer service rating of Facebook is really low, just one star. </w:t>
      </w:r>
    </w:p>
    <w:p w:rsidR="00B212CD" w:rsidRPr="00D81977" w:rsidRDefault="00B212CD" w:rsidP="00D81977">
      <w:pPr>
        <w:rPr>
          <w:rFonts w:ascii="Times New Roman" w:hAnsi="Times New Roman" w:cs="Times New Roman"/>
          <w:sz w:val="24"/>
          <w:szCs w:val="24"/>
        </w:rPr>
      </w:pPr>
      <w:r>
        <w:rPr>
          <w:rFonts w:ascii="Times New Roman" w:hAnsi="Times New Roman" w:cs="Times New Roman"/>
          <w:sz w:val="24"/>
          <w:szCs w:val="24"/>
        </w:rPr>
        <w:t>(Source:</w:t>
      </w:r>
      <w:r w:rsidRPr="00B212CD">
        <w:t xml:space="preserve"> </w:t>
      </w:r>
      <w:r w:rsidRPr="00B212CD">
        <w:rPr>
          <w:rFonts w:ascii="Times New Roman" w:hAnsi="Times New Roman" w:cs="Times New Roman"/>
          <w:sz w:val="24"/>
          <w:szCs w:val="24"/>
        </w:rPr>
        <w:t>https://www.consumeraffairs.com/dating_services/facebook.ht</w:t>
      </w:r>
      <w:bookmarkStart w:id="0" w:name="_GoBack"/>
      <w:bookmarkEnd w:id="0"/>
      <w:r w:rsidRPr="00B212CD">
        <w:rPr>
          <w:rFonts w:ascii="Times New Roman" w:hAnsi="Times New Roman" w:cs="Times New Roman"/>
          <w:sz w:val="24"/>
          <w:szCs w:val="24"/>
        </w:rPr>
        <w:t>ml?page=1#sort=recent&amp;filter=5</w:t>
      </w:r>
      <w:r>
        <w:rPr>
          <w:rFonts w:ascii="Times New Roman" w:hAnsi="Times New Roman" w:cs="Times New Roman"/>
          <w:sz w:val="24"/>
          <w:szCs w:val="24"/>
        </w:rPr>
        <w:t>)</w:t>
      </w:r>
    </w:p>
    <w:sectPr w:rsidR="00B212CD" w:rsidRPr="00D81977" w:rsidSect="00F3655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C5"/>
    <w:rsid w:val="00251308"/>
    <w:rsid w:val="00266256"/>
    <w:rsid w:val="00294E68"/>
    <w:rsid w:val="005D1888"/>
    <w:rsid w:val="009253A5"/>
    <w:rsid w:val="00967F45"/>
    <w:rsid w:val="00A824A9"/>
    <w:rsid w:val="00A919B6"/>
    <w:rsid w:val="00B212CD"/>
    <w:rsid w:val="00BA34A4"/>
    <w:rsid w:val="00BC687E"/>
    <w:rsid w:val="00D81977"/>
    <w:rsid w:val="00E855C5"/>
    <w:rsid w:val="00F36558"/>
    <w:rsid w:val="00FD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18814-86DF-40EA-BC09-8EBF36E4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855C5"/>
    <w:pPr>
      <w:keepNext/>
      <w:spacing w:before="480" w:after="0" w:line="240" w:lineRule="auto"/>
      <w:outlineLvl w:val="0"/>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5C5"/>
    <w:rPr>
      <w:color w:val="0563C1" w:themeColor="hyperlink"/>
      <w:u w:val="single"/>
    </w:rPr>
  </w:style>
  <w:style w:type="character" w:customStyle="1" w:styleId="Heading1Char">
    <w:name w:val="Heading 1 Char"/>
    <w:basedOn w:val="DefaultParagraphFont"/>
    <w:link w:val="Heading1"/>
    <w:rsid w:val="00E855C5"/>
    <w:rPr>
      <w:rFonts w:ascii="Times New Roman" w:eastAsia="Times New Roman" w:hAnsi="Times New Roman" w:cs="Times New Roman"/>
      <w:b/>
      <w:bCs/>
      <w:color w:val="0000FF"/>
      <w:sz w:val="24"/>
      <w:szCs w:val="24"/>
    </w:rPr>
  </w:style>
  <w:style w:type="paragraph" w:styleId="Title">
    <w:name w:val="Title"/>
    <w:basedOn w:val="Normal"/>
    <w:link w:val="TitleChar"/>
    <w:qFormat/>
    <w:rsid w:val="00FD2915"/>
    <w:pPr>
      <w:spacing w:after="480" w:line="240" w:lineRule="auto"/>
      <w:jc w:val="center"/>
    </w:pPr>
    <w:rPr>
      <w:rFonts w:ascii="Times New Roman" w:eastAsia="SimSun" w:hAnsi="Times New Roman" w:cs="Times New Roman"/>
      <w:sz w:val="28"/>
      <w:szCs w:val="24"/>
    </w:rPr>
  </w:style>
  <w:style w:type="character" w:customStyle="1" w:styleId="TitleChar">
    <w:name w:val="Title Char"/>
    <w:basedOn w:val="DefaultParagraphFont"/>
    <w:link w:val="Title"/>
    <w:rsid w:val="00FD2915"/>
    <w:rPr>
      <w:rFonts w:ascii="Times New Roman" w:eastAsia="SimSun" w:hAnsi="Times New Roman" w:cs="Times New Roman"/>
      <w:sz w:val="28"/>
      <w:szCs w:val="24"/>
    </w:rPr>
  </w:style>
  <w:style w:type="paragraph" w:styleId="BodyText">
    <w:name w:val="Body Text"/>
    <w:basedOn w:val="Normal"/>
    <w:link w:val="BodyTextChar"/>
    <w:semiHidden/>
    <w:unhideWhenUsed/>
    <w:rsid w:val="00D8197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819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27192">
      <w:bodyDiv w:val="1"/>
      <w:marLeft w:val="0"/>
      <w:marRight w:val="0"/>
      <w:marTop w:val="0"/>
      <w:marBottom w:val="0"/>
      <w:divBdr>
        <w:top w:val="none" w:sz="0" w:space="0" w:color="auto"/>
        <w:left w:val="none" w:sz="0" w:space="0" w:color="auto"/>
        <w:bottom w:val="none" w:sz="0" w:space="0" w:color="auto"/>
        <w:right w:val="none" w:sz="0" w:space="0" w:color="auto"/>
      </w:divBdr>
    </w:div>
    <w:div w:id="734663468">
      <w:bodyDiv w:val="1"/>
      <w:marLeft w:val="0"/>
      <w:marRight w:val="0"/>
      <w:marTop w:val="0"/>
      <w:marBottom w:val="0"/>
      <w:divBdr>
        <w:top w:val="none" w:sz="0" w:space="0" w:color="auto"/>
        <w:left w:val="none" w:sz="0" w:space="0" w:color="auto"/>
        <w:bottom w:val="none" w:sz="0" w:space="0" w:color="auto"/>
        <w:right w:val="none" w:sz="0" w:space="0" w:color="auto"/>
      </w:divBdr>
    </w:div>
    <w:div w:id="974217411">
      <w:bodyDiv w:val="1"/>
      <w:marLeft w:val="0"/>
      <w:marRight w:val="0"/>
      <w:marTop w:val="0"/>
      <w:marBottom w:val="0"/>
      <w:divBdr>
        <w:top w:val="none" w:sz="0" w:space="0" w:color="auto"/>
        <w:left w:val="none" w:sz="0" w:space="0" w:color="auto"/>
        <w:bottom w:val="none" w:sz="0" w:space="0" w:color="auto"/>
        <w:right w:val="none" w:sz="0" w:space="0" w:color="auto"/>
      </w:divBdr>
    </w:div>
    <w:div w:id="1192301070">
      <w:bodyDiv w:val="1"/>
      <w:marLeft w:val="0"/>
      <w:marRight w:val="0"/>
      <w:marTop w:val="0"/>
      <w:marBottom w:val="0"/>
      <w:divBdr>
        <w:top w:val="none" w:sz="0" w:space="0" w:color="auto"/>
        <w:left w:val="none" w:sz="0" w:space="0" w:color="auto"/>
        <w:bottom w:val="none" w:sz="0" w:space="0" w:color="auto"/>
        <w:right w:val="none" w:sz="0" w:space="0" w:color="auto"/>
      </w:divBdr>
    </w:div>
    <w:div w:id="1328941567">
      <w:bodyDiv w:val="1"/>
      <w:marLeft w:val="0"/>
      <w:marRight w:val="0"/>
      <w:marTop w:val="0"/>
      <w:marBottom w:val="0"/>
      <w:divBdr>
        <w:top w:val="none" w:sz="0" w:space="0" w:color="auto"/>
        <w:left w:val="none" w:sz="0" w:space="0" w:color="auto"/>
        <w:bottom w:val="none" w:sz="0" w:space="0" w:color="auto"/>
        <w:right w:val="none" w:sz="0" w:space="0" w:color="auto"/>
      </w:divBdr>
    </w:div>
    <w:div w:id="15996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nance.yahoo.com/quote/GOOGL-USD.SW?p=GOOGL-USD.S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nance.yahoo.com/quote/TWTR?p=TWTR" TargetMode="External"/><Relationship Id="rId5" Type="http://schemas.openxmlformats.org/officeDocument/2006/relationships/hyperlink" Target="https://finance.yahoo.com/quote/FB?p=FB" TargetMode="External"/><Relationship Id="rId4" Type="http://schemas.openxmlformats.org/officeDocument/2006/relationships/hyperlink" Target="https://finance.yahoo.com/quote/FB?p=F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Troy University</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Jinyu Zheng</dc:creator>
  <cp:keywords/>
  <dc:description/>
  <cp:lastModifiedBy>Jinyu Zheng</cp:lastModifiedBy>
  <cp:revision>4</cp:revision>
  <dcterms:created xsi:type="dcterms:W3CDTF">2018-02-27T22:34:00Z</dcterms:created>
  <dcterms:modified xsi:type="dcterms:W3CDTF">2018-02-28T01:04:00Z</dcterms:modified>
</cp:coreProperties>
</file>