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46" w:rsidRDefault="00FC3ED5" w:rsidP="00F6414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480" w:lineRule="auto"/>
        <w:jc w:val="center"/>
        <w:rPr>
          <w:b/>
          <w:caps/>
        </w:rPr>
      </w:pPr>
      <w:r>
        <w:rPr>
          <w:b/>
          <w:caps/>
        </w:rPr>
        <w:t>Resource-based view of Facebook</w:t>
      </w:r>
      <w:r w:rsidR="00F64146">
        <w:rPr>
          <w:b/>
          <w:caps/>
        </w:rPr>
        <w:t xml:space="preserve"> </w:t>
      </w:r>
    </w:p>
    <w:p w:rsidR="00F64146" w:rsidRDefault="00F64146" w:rsidP="00F64146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spacing w:line="480" w:lineRule="auto"/>
      </w:pPr>
    </w:p>
    <w:tbl>
      <w:tblPr>
        <w:tblW w:w="5325" w:type="pct"/>
        <w:tblInd w:w="-294" w:type="dxa"/>
        <w:tblLook w:val="0000" w:firstRow="0" w:lastRow="0" w:firstColumn="0" w:lastColumn="0" w:noHBand="0" w:noVBand="0"/>
      </w:tblPr>
      <w:tblGrid>
        <w:gridCol w:w="1461"/>
        <w:gridCol w:w="1039"/>
        <w:gridCol w:w="661"/>
        <w:gridCol w:w="1150"/>
        <w:gridCol w:w="1916"/>
        <w:gridCol w:w="1895"/>
        <w:gridCol w:w="1518"/>
      </w:tblGrid>
      <w:tr w:rsidR="00467101" w:rsidTr="00467101">
        <w:trPr>
          <w:trHeight w:val="25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88685E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r w:rsidR="00F641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angible 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Valuable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Inimitable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Non-substitutable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Competitive 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Advantage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C6A9F" w:rsidRDefault="007C6A9F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Significant</w:t>
            </w:r>
          </w:p>
          <w:p w:rsidR="0088685E" w:rsidRDefault="0088685E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C6A9F">
              <w:rPr>
                <w:rFonts w:ascii="Arial" w:hAnsi="Arial" w:cs="Arial"/>
                <w:sz w:val="20"/>
                <w:szCs w:val="20"/>
              </w:rPr>
              <w:t>Temp Comp</w:t>
            </w:r>
          </w:p>
          <w:p w:rsidR="007C6A9F" w:rsidRDefault="007C6A9F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Advantage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F641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User base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67101">
              <w:rPr>
                <w:rFonts w:ascii="Arial" w:hAnsi="Arial" w:cs="Arial"/>
                <w:sz w:val="20"/>
                <w:szCs w:val="20"/>
              </w:rPr>
              <w:t>Competitive Parity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88685E" w:rsidP="00886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Functionality</w:t>
            </w:r>
          </w:p>
          <w:p w:rsidR="0088685E" w:rsidRDefault="0088685E" w:rsidP="008868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8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6A9F" w:rsidRDefault="00F64146" w:rsidP="007C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7C6A9F">
              <w:rPr>
                <w:rFonts w:ascii="Arial" w:hAnsi="Arial" w:cs="Arial"/>
                <w:sz w:val="20"/>
                <w:szCs w:val="20"/>
              </w:rPr>
              <w:t>Temp Comp</w:t>
            </w:r>
          </w:p>
          <w:p w:rsidR="00F64146" w:rsidRDefault="007C6A9F" w:rsidP="007C6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Advantage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64146" w:rsidRDefault="00F64146" w:rsidP="00C44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Competitive Parity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Competitive Parity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tangible 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Valuable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Inimitable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Non-substitutable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Competitive 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Advantage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55"/>
        </w:trPr>
        <w:tc>
          <w:tcPr>
            <w:tcW w:w="6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7101" w:rsidTr="00467101">
        <w:trPr>
          <w:trHeight w:val="270"/>
        </w:trPr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101" w:rsidRDefault="00467101" w:rsidP="004671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A071B" w:rsidRDefault="001A071B"/>
    <w:p w:rsidR="00FC3ED5" w:rsidRDefault="00FC3ED5"/>
    <w:p w:rsidR="00FC3ED5" w:rsidRDefault="00FC3ED5"/>
    <w:p w:rsidR="00436CF0" w:rsidRPr="00FC3ED5" w:rsidRDefault="007C6A9F" w:rsidP="00FC3ED5">
      <w:pPr>
        <w:spacing w:line="480" w:lineRule="auto"/>
        <w:rPr>
          <w:rFonts w:hAnsiTheme="minorHAnsi" w:cstheme="minorHAnsi"/>
          <w:sz w:val="24"/>
        </w:rPr>
      </w:pPr>
      <w:r w:rsidRPr="00FC3ED5">
        <w:rPr>
          <w:rFonts w:hAnsiTheme="minorHAnsi" w:cstheme="minorHAnsi"/>
          <w:sz w:val="24"/>
        </w:rPr>
        <w:lastRenderedPageBreak/>
        <w:t>Facebook has one of the most imp</w:t>
      </w:r>
      <w:r w:rsidR="00136EAB" w:rsidRPr="00FC3ED5">
        <w:rPr>
          <w:rFonts w:hAnsiTheme="minorHAnsi" w:cstheme="minorHAnsi"/>
          <w:sz w:val="24"/>
        </w:rPr>
        <w:t>ortant database. As the company has been</w:t>
      </w:r>
      <w:r w:rsidRPr="00FC3ED5">
        <w:rPr>
          <w:rFonts w:hAnsiTheme="minorHAnsi" w:cstheme="minorHAnsi"/>
          <w:sz w:val="24"/>
        </w:rPr>
        <w:t xml:space="preserve"> one of the first to enter in the </w:t>
      </w:r>
      <w:r w:rsidR="00136EAB" w:rsidRPr="00FC3ED5">
        <w:rPr>
          <w:rFonts w:hAnsiTheme="minorHAnsi" w:cstheme="minorHAnsi"/>
          <w:sz w:val="24"/>
        </w:rPr>
        <w:t>market, and</w:t>
      </w:r>
      <w:r w:rsidRPr="00FC3ED5">
        <w:rPr>
          <w:rFonts w:hAnsiTheme="minorHAnsi" w:cstheme="minorHAnsi"/>
          <w:sz w:val="24"/>
        </w:rPr>
        <w:t xml:space="preserve"> </w:t>
      </w:r>
      <w:r w:rsidR="00136EAB" w:rsidRPr="00FC3ED5">
        <w:rPr>
          <w:rFonts w:hAnsiTheme="minorHAnsi" w:cstheme="minorHAnsi"/>
          <w:sz w:val="24"/>
        </w:rPr>
        <w:t>was</w:t>
      </w:r>
      <w:r w:rsidRPr="00FC3ED5">
        <w:rPr>
          <w:rFonts w:hAnsiTheme="minorHAnsi" w:cstheme="minorHAnsi"/>
          <w:sz w:val="24"/>
        </w:rPr>
        <w:t xml:space="preserve"> the most </w:t>
      </w:r>
      <w:r w:rsidR="00136EAB" w:rsidRPr="00FC3ED5">
        <w:rPr>
          <w:rFonts w:hAnsiTheme="minorHAnsi" w:cstheme="minorHAnsi"/>
          <w:sz w:val="24"/>
        </w:rPr>
        <w:t>popular</w:t>
      </w:r>
      <w:r w:rsidRPr="00FC3ED5">
        <w:rPr>
          <w:rFonts w:hAnsiTheme="minorHAnsi" w:cstheme="minorHAnsi"/>
          <w:sz w:val="24"/>
        </w:rPr>
        <w:t xml:space="preserve"> social</w:t>
      </w:r>
      <w:r w:rsidR="00136EAB" w:rsidRPr="00FC3ED5">
        <w:rPr>
          <w:rFonts w:hAnsiTheme="minorHAnsi" w:cstheme="minorHAnsi"/>
          <w:sz w:val="24"/>
        </w:rPr>
        <w:t>,</w:t>
      </w:r>
      <w:r w:rsidRPr="00FC3ED5">
        <w:rPr>
          <w:rFonts w:hAnsiTheme="minorHAnsi" w:cstheme="minorHAnsi"/>
          <w:sz w:val="24"/>
        </w:rPr>
        <w:t xml:space="preserve"> media the firm has collected plenty </w:t>
      </w:r>
      <w:bookmarkStart w:id="0" w:name="_GoBack"/>
      <w:r w:rsidRPr="00FC3ED5">
        <w:rPr>
          <w:rFonts w:hAnsiTheme="minorHAnsi" w:cstheme="minorHAnsi"/>
          <w:sz w:val="24"/>
        </w:rPr>
        <w:t xml:space="preserve">of data. This is an important asset for a company like Facebook. However, this advantage is </w:t>
      </w:r>
      <w:bookmarkEnd w:id="0"/>
      <w:r w:rsidRPr="00FC3ED5">
        <w:rPr>
          <w:rFonts w:hAnsiTheme="minorHAnsi" w:cstheme="minorHAnsi"/>
          <w:sz w:val="24"/>
        </w:rPr>
        <w:t xml:space="preserve">only temporary. Google has a larger database but </w:t>
      </w:r>
      <w:r w:rsidR="00136EAB" w:rsidRPr="00FC3ED5">
        <w:rPr>
          <w:rFonts w:hAnsiTheme="minorHAnsi" w:cstheme="minorHAnsi"/>
          <w:sz w:val="24"/>
        </w:rPr>
        <w:t xml:space="preserve">it less significant </w:t>
      </w:r>
      <w:r w:rsidRPr="00FC3ED5">
        <w:rPr>
          <w:rFonts w:hAnsiTheme="minorHAnsi" w:cstheme="minorHAnsi"/>
          <w:sz w:val="24"/>
        </w:rPr>
        <w:t xml:space="preserve">as Google has only collected data from its search engine. Google has </w:t>
      </w:r>
      <w:r w:rsidR="00136EAB" w:rsidRPr="00FC3ED5">
        <w:rPr>
          <w:rFonts w:hAnsiTheme="minorHAnsi" w:cstheme="minorHAnsi"/>
          <w:sz w:val="24"/>
        </w:rPr>
        <w:t>more “global</w:t>
      </w:r>
      <w:r w:rsidRPr="00FC3ED5">
        <w:rPr>
          <w:rFonts w:hAnsiTheme="minorHAnsi" w:cstheme="minorHAnsi"/>
          <w:sz w:val="24"/>
        </w:rPr>
        <w:t xml:space="preserve"> data</w:t>
      </w:r>
      <w:r w:rsidR="00136EAB" w:rsidRPr="00FC3ED5">
        <w:rPr>
          <w:rFonts w:hAnsiTheme="minorHAnsi" w:cstheme="minorHAnsi"/>
          <w:sz w:val="24"/>
        </w:rPr>
        <w:t>”</w:t>
      </w:r>
      <w:r w:rsidRPr="00FC3ED5">
        <w:rPr>
          <w:rFonts w:hAnsiTheme="minorHAnsi" w:cstheme="minorHAnsi"/>
          <w:sz w:val="24"/>
        </w:rPr>
        <w:t xml:space="preserve"> while Facebook has individual data.</w:t>
      </w:r>
      <w:r w:rsidR="00884857" w:rsidRPr="00FC3ED5">
        <w:rPr>
          <w:rFonts w:hAnsiTheme="minorHAnsi" w:cstheme="minorHAnsi"/>
          <w:sz w:val="24"/>
        </w:rPr>
        <w:t xml:space="preserve"> </w:t>
      </w:r>
      <w:r w:rsidRPr="00FC3ED5">
        <w:rPr>
          <w:rFonts w:hAnsiTheme="minorHAnsi" w:cstheme="minorHAnsi"/>
          <w:sz w:val="24"/>
        </w:rPr>
        <w:t>Google+ is less po</w:t>
      </w:r>
      <w:r w:rsidR="00136EAB" w:rsidRPr="00FC3ED5">
        <w:rPr>
          <w:rFonts w:hAnsiTheme="minorHAnsi" w:cstheme="minorHAnsi"/>
          <w:sz w:val="24"/>
        </w:rPr>
        <w:t>pular than Facebook and has less</w:t>
      </w:r>
      <w:r w:rsidRPr="00FC3ED5">
        <w:rPr>
          <w:rFonts w:hAnsiTheme="minorHAnsi" w:cstheme="minorHAnsi"/>
          <w:sz w:val="24"/>
        </w:rPr>
        <w:t xml:space="preserve"> active user</w:t>
      </w:r>
      <w:r w:rsidR="00884857" w:rsidRPr="00FC3ED5">
        <w:rPr>
          <w:rFonts w:hAnsiTheme="minorHAnsi" w:cstheme="minorHAnsi"/>
          <w:sz w:val="24"/>
        </w:rPr>
        <w:t>.</w:t>
      </w:r>
      <w:r w:rsidRPr="00FC3ED5">
        <w:rPr>
          <w:rFonts w:hAnsiTheme="minorHAnsi" w:cstheme="minorHAnsi"/>
          <w:sz w:val="24"/>
        </w:rPr>
        <w:t xml:space="preserve"> Facebook’s database </w:t>
      </w:r>
      <w:r w:rsidR="00884857" w:rsidRPr="00FC3ED5">
        <w:rPr>
          <w:rFonts w:hAnsiTheme="minorHAnsi" w:cstheme="minorHAnsi"/>
          <w:sz w:val="24"/>
        </w:rPr>
        <w:t>is</w:t>
      </w:r>
      <w:r w:rsidRPr="00FC3ED5">
        <w:rPr>
          <w:rFonts w:hAnsiTheme="minorHAnsi" w:cstheme="minorHAnsi"/>
          <w:sz w:val="24"/>
        </w:rPr>
        <w:t xml:space="preserve"> still relevant and significant. Company like twitter keep gain</w:t>
      </w:r>
      <w:r w:rsidR="00884857" w:rsidRPr="00FC3ED5">
        <w:rPr>
          <w:rFonts w:hAnsiTheme="minorHAnsi" w:cstheme="minorHAnsi"/>
          <w:sz w:val="24"/>
        </w:rPr>
        <w:t>ing more data every day. Twitter database is growing faster but it is less relevant than Facebook because the media collect less individual data. Data collected by twitter are a mix between individual and more global trends.</w:t>
      </w:r>
      <w:r w:rsidR="00436CF0" w:rsidRPr="00FC3ED5">
        <w:rPr>
          <w:rFonts w:hAnsiTheme="minorHAnsi" w:cstheme="minorHAnsi"/>
          <w:sz w:val="24"/>
        </w:rPr>
        <w:t xml:space="preserve"> User base is</w:t>
      </w:r>
      <w:r w:rsidR="00884857" w:rsidRPr="00FC3ED5">
        <w:rPr>
          <w:rFonts w:hAnsiTheme="minorHAnsi" w:cstheme="minorHAnsi"/>
          <w:sz w:val="24"/>
        </w:rPr>
        <w:t xml:space="preserve"> one of the more important Facebook’s strength</w:t>
      </w:r>
      <w:r w:rsidR="00436CF0" w:rsidRPr="00FC3ED5">
        <w:rPr>
          <w:rFonts w:hAnsiTheme="minorHAnsi" w:cstheme="minorHAnsi"/>
          <w:sz w:val="24"/>
        </w:rPr>
        <w:t>. Gain a such important user base is not an easy thing to do and Facebook should keep this advantage for some time.</w:t>
      </w:r>
      <w:r w:rsidR="00884857" w:rsidRPr="00FC3ED5">
        <w:rPr>
          <w:rFonts w:hAnsiTheme="minorHAnsi" w:cstheme="minorHAnsi"/>
          <w:sz w:val="24"/>
        </w:rPr>
        <w:t xml:space="preserve"> </w:t>
      </w:r>
      <w:r w:rsidR="00436CF0" w:rsidRPr="00FC3ED5">
        <w:rPr>
          <w:rFonts w:hAnsiTheme="minorHAnsi" w:cstheme="minorHAnsi"/>
          <w:sz w:val="24"/>
        </w:rPr>
        <w:t>However, social media use</w:t>
      </w:r>
      <w:r w:rsidR="00136EAB" w:rsidRPr="00FC3ED5">
        <w:rPr>
          <w:rFonts w:hAnsiTheme="minorHAnsi" w:cstheme="minorHAnsi"/>
          <w:sz w:val="24"/>
        </w:rPr>
        <w:t>d</w:t>
      </w:r>
      <w:r w:rsidR="00436CF0" w:rsidRPr="00FC3ED5">
        <w:rPr>
          <w:rFonts w:hAnsiTheme="minorHAnsi" w:cstheme="minorHAnsi"/>
          <w:sz w:val="24"/>
        </w:rPr>
        <w:t xml:space="preserve"> by people are not limited. There is no barrier for a new entrant that will make impossible to gain a similar user base. Only popularity limit the user base of a media and the popularity of Facebook is decreasing. </w:t>
      </w:r>
    </w:p>
    <w:p w:rsidR="00436CF0" w:rsidRPr="00FC3ED5" w:rsidRDefault="00436CF0" w:rsidP="00FC3ED5">
      <w:pPr>
        <w:spacing w:line="480" w:lineRule="auto"/>
        <w:rPr>
          <w:rFonts w:hAnsiTheme="minorHAnsi" w:cstheme="minorHAnsi"/>
          <w:sz w:val="24"/>
        </w:rPr>
      </w:pPr>
      <w:r w:rsidRPr="00FC3ED5">
        <w:rPr>
          <w:rFonts w:hAnsiTheme="minorHAnsi" w:cstheme="minorHAnsi"/>
          <w:sz w:val="24"/>
        </w:rPr>
        <w:t>Facebook functionalities give the media a competitive advantage. The firm’s strategy is based on increasing the functionalities. The company has acquired other companies to increase its number of functionalities (live, videos…). Competitors have less functionalities.</w:t>
      </w:r>
    </w:p>
    <w:p w:rsidR="00436CF0" w:rsidRPr="00FC3ED5" w:rsidRDefault="00436CF0" w:rsidP="00FC3ED5">
      <w:pPr>
        <w:spacing w:line="480" w:lineRule="auto"/>
        <w:rPr>
          <w:rFonts w:hAnsiTheme="minorHAnsi" w:cstheme="minorHAnsi"/>
          <w:sz w:val="24"/>
        </w:rPr>
      </w:pPr>
      <w:r w:rsidRPr="00FC3ED5">
        <w:rPr>
          <w:rFonts w:hAnsiTheme="minorHAnsi" w:cstheme="minorHAnsi"/>
          <w:sz w:val="24"/>
        </w:rPr>
        <w:t>Even if the popularity of page within a social media decrease it is still a relevant functionality. Most important companies have a Facebook page where community manager</w:t>
      </w:r>
      <w:r w:rsidR="00136EAB" w:rsidRPr="00FC3ED5">
        <w:rPr>
          <w:rFonts w:hAnsiTheme="minorHAnsi" w:cstheme="minorHAnsi"/>
          <w:sz w:val="24"/>
        </w:rPr>
        <w:t>s</w:t>
      </w:r>
      <w:r w:rsidRPr="00FC3ED5">
        <w:rPr>
          <w:rFonts w:hAnsiTheme="minorHAnsi" w:cstheme="minorHAnsi"/>
          <w:sz w:val="24"/>
        </w:rPr>
        <w:t xml:space="preserve"> share information. It is the same thing for individuals. These pages make easy for users and organization to</w:t>
      </w:r>
      <w:r w:rsidR="00136EAB" w:rsidRPr="00FC3ED5">
        <w:rPr>
          <w:rFonts w:hAnsiTheme="minorHAnsi" w:cstheme="minorHAnsi"/>
          <w:sz w:val="24"/>
        </w:rPr>
        <w:t xml:space="preserve"> share contents and information. Google+ has also a functionality “page” but the media does not have enough acti</w:t>
      </w:r>
      <w:r w:rsidR="006F63E9" w:rsidRPr="00FC3ED5">
        <w:rPr>
          <w:rFonts w:hAnsiTheme="minorHAnsi" w:cstheme="minorHAnsi"/>
          <w:sz w:val="24"/>
        </w:rPr>
        <w:t>ve users</w:t>
      </w:r>
      <w:r w:rsidR="00136EAB" w:rsidRPr="00FC3ED5">
        <w:rPr>
          <w:rFonts w:hAnsiTheme="minorHAnsi" w:cstheme="minorHAnsi"/>
          <w:sz w:val="24"/>
        </w:rPr>
        <w:t>. Twitter focuses on fast communication. Therefore, users and organization use the media to communicate daily but tend to prefer Facebook to share more important information.</w:t>
      </w:r>
    </w:p>
    <w:p w:rsidR="00136EAB" w:rsidRPr="00FC3ED5" w:rsidRDefault="00136EAB" w:rsidP="00FC3ED5">
      <w:pPr>
        <w:spacing w:line="480" w:lineRule="auto"/>
        <w:rPr>
          <w:rFonts w:hAnsiTheme="minorHAnsi" w:cstheme="minorHAnsi"/>
          <w:sz w:val="24"/>
        </w:rPr>
      </w:pPr>
      <w:r w:rsidRPr="00FC3ED5">
        <w:rPr>
          <w:rFonts w:hAnsiTheme="minorHAnsi" w:cstheme="minorHAnsi"/>
          <w:sz w:val="24"/>
        </w:rPr>
        <w:t>One of the new functionality of Facebook allows user to pay via the Facebook Messenger app. It is the first social media to have this functionality.</w:t>
      </w:r>
    </w:p>
    <w:p w:rsidR="007C6A9F" w:rsidRDefault="00436CF0">
      <w:r>
        <w:t xml:space="preserve"> </w:t>
      </w:r>
    </w:p>
    <w:sectPr w:rsidR="007C6A9F" w:rsidSect="0073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6"/>
    <w:rsid w:val="00136EAB"/>
    <w:rsid w:val="001A071B"/>
    <w:rsid w:val="001C328B"/>
    <w:rsid w:val="00436CF0"/>
    <w:rsid w:val="00467101"/>
    <w:rsid w:val="006F63E9"/>
    <w:rsid w:val="00732427"/>
    <w:rsid w:val="007C6A9F"/>
    <w:rsid w:val="00884857"/>
    <w:rsid w:val="0088685E"/>
    <w:rsid w:val="00AD6FAD"/>
    <w:rsid w:val="00B37873"/>
    <w:rsid w:val="00EC4C3C"/>
    <w:rsid w:val="00F64146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577F"/>
  <w15:chartTrackingRefBased/>
  <w15:docId w15:val="{9C824B8C-D64F-47CD-A558-ECD9DB03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ensers veyrat</dc:creator>
  <cp:keywords/>
  <dc:description/>
  <cp:lastModifiedBy>ensers veyrat</cp:lastModifiedBy>
  <cp:revision>4</cp:revision>
  <dcterms:created xsi:type="dcterms:W3CDTF">2018-02-27T05:18:00Z</dcterms:created>
  <dcterms:modified xsi:type="dcterms:W3CDTF">2018-03-09T09:31:00Z</dcterms:modified>
</cp:coreProperties>
</file>