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253E" w:rsidRPr="007F19AB" w:rsidRDefault="002C4793" w:rsidP="007F19AB">
      <w:pPr>
        <w:pStyle w:val="Heading1"/>
        <w:suppressAutoHyphens/>
        <w:spacing w:after="0"/>
      </w:pPr>
      <w:bookmarkStart w:id="0" w:name="_GoBack"/>
      <w:bookmarkEnd w:id="0"/>
      <w:r w:rsidRPr="007F19AB">
        <w:t>QSO 345 Quality and Ris</w:t>
      </w:r>
      <w:r w:rsidR="007F19AB" w:rsidRPr="007F19AB">
        <w:t>k Management Plan Template</w:t>
      </w:r>
    </w:p>
    <w:p w:rsidR="007F19AB" w:rsidRDefault="007F19AB" w:rsidP="007F19AB">
      <w:pPr>
        <w:suppressAutoHyphens/>
        <w:spacing w:after="0" w:line="240" w:lineRule="auto"/>
        <w:rPr>
          <w:i/>
          <w:szCs w:val="24"/>
        </w:rPr>
      </w:pPr>
    </w:p>
    <w:p w:rsidR="007F19AB" w:rsidRPr="00F706C5" w:rsidRDefault="002C4793" w:rsidP="007F19AB">
      <w:pPr>
        <w:suppressAutoHyphens/>
        <w:spacing w:after="0" w:line="240" w:lineRule="auto"/>
        <w:rPr>
          <w:sz w:val="20"/>
        </w:rPr>
      </w:pPr>
      <w:r w:rsidRPr="007F19AB">
        <w:rPr>
          <w:szCs w:val="24"/>
        </w:rPr>
        <w:t>U</w:t>
      </w:r>
      <w:r w:rsidR="007F19AB">
        <w:rPr>
          <w:szCs w:val="24"/>
        </w:rPr>
        <w:t>se this template to creating your own quality and risk management p</w:t>
      </w:r>
      <w:r w:rsidRPr="007F19AB">
        <w:rPr>
          <w:szCs w:val="24"/>
        </w:rPr>
        <w:t xml:space="preserve">lan for the final two </w:t>
      </w:r>
      <w:r w:rsidR="007F19AB">
        <w:rPr>
          <w:szCs w:val="24"/>
        </w:rPr>
        <w:t>critical elements of the project (</w:t>
      </w:r>
      <w:r w:rsidRPr="007F19AB">
        <w:rPr>
          <w:szCs w:val="24"/>
        </w:rPr>
        <w:t xml:space="preserve">XI and XII). </w:t>
      </w:r>
      <w:r w:rsidR="007F19AB" w:rsidRPr="00F706C5">
        <w:rPr>
          <w:szCs w:val="24"/>
        </w:rPr>
        <w:t>Include all sections an</w:t>
      </w:r>
      <w:r w:rsidR="007F19AB">
        <w:rPr>
          <w:szCs w:val="24"/>
        </w:rPr>
        <w:t>d tables identified in this</w:t>
      </w:r>
      <w:r w:rsidR="007F19AB" w:rsidRPr="00F706C5">
        <w:rPr>
          <w:szCs w:val="24"/>
        </w:rPr>
        <w:t xml:space="preserve"> template in your final submission. N</w:t>
      </w:r>
      <w:r w:rsidR="007F19AB">
        <w:rPr>
          <w:szCs w:val="24"/>
        </w:rPr>
        <w:t>ote: T</w:t>
      </w:r>
      <w:r w:rsidR="007F19AB" w:rsidRPr="00F706C5">
        <w:rPr>
          <w:szCs w:val="24"/>
        </w:rPr>
        <w:t>his template represents only the minimum requirements. If you prefer, you can add elements to your template that you believe a project manager might find useful.</w:t>
      </w:r>
    </w:p>
    <w:p w:rsidR="009B253E" w:rsidRPr="00A959BE" w:rsidRDefault="009B253E" w:rsidP="007F19AB">
      <w:pPr>
        <w:suppressAutoHyphens/>
        <w:spacing w:after="0" w:line="240" w:lineRule="auto"/>
      </w:pPr>
    </w:p>
    <w:p w:rsidR="009B253E" w:rsidRPr="00A959BE" w:rsidRDefault="002C4793" w:rsidP="007F19AB">
      <w:pPr>
        <w:suppressAutoHyphens/>
        <w:spacing w:after="0" w:line="240" w:lineRule="auto"/>
        <w:rPr>
          <w:b/>
        </w:rPr>
      </w:pPr>
      <w:r w:rsidRPr="00A959BE">
        <w:rPr>
          <w:b/>
          <w:sz w:val="28"/>
          <w:szCs w:val="32"/>
        </w:rPr>
        <w:t>Project Quality Management Plan</w:t>
      </w:r>
    </w:p>
    <w:p w:rsidR="00A959BE" w:rsidRDefault="00A959BE" w:rsidP="007F19AB">
      <w:pPr>
        <w:suppressAutoHyphens/>
        <w:spacing w:after="0" w:line="240" w:lineRule="auto"/>
        <w:rPr>
          <w:b/>
          <w:sz w:val="24"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Introduction</w:t>
      </w:r>
    </w:p>
    <w:p w:rsidR="009B253E" w:rsidRPr="00A959BE" w:rsidRDefault="002C4793" w:rsidP="007F19AB">
      <w:pPr>
        <w:suppressAutoHyphens/>
        <w:spacing w:after="0" w:line="240" w:lineRule="auto"/>
        <w:rPr>
          <w:sz w:val="20"/>
        </w:rPr>
      </w:pPr>
      <w:r w:rsidRPr="00A959BE">
        <w:rPr>
          <w:szCs w:val="24"/>
        </w:rPr>
        <w:t xml:space="preserve">Provide a brief summary of what your project quality management plan covers. </w:t>
      </w:r>
    </w:p>
    <w:p w:rsidR="00A959BE" w:rsidRPr="00A959BE" w:rsidRDefault="00A959BE" w:rsidP="007F19AB">
      <w:pPr>
        <w:suppressAutoHyphens/>
        <w:spacing w:after="0" w:line="240" w:lineRule="auto"/>
        <w:rPr>
          <w:b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Quality Management Approach</w:t>
      </w:r>
    </w:p>
    <w:p w:rsidR="009B253E" w:rsidRPr="00A959BE" w:rsidRDefault="002C4793" w:rsidP="007F19AB">
      <w:pPr>
        <w:suppressAutoHyphens/>
        <w:spacing w:after="0" w:line="240" w:lineRule="auto"/>
        <w:rPr>
          <w:sz w:val="20"/>
        </w:rPr>
      </w:pPr>
      <w:r w:rsidRPr="00A959BE">
        <w:rPr>
          <w:szCs w:val="24"/>
        </w:rPr>
        <w:t>This section should c</w:t>
      </w:r>
      <w:r w:rsidR="003E07A1">
        <w:rPr>
          <w:szCs w:val="24"/>
        </w:rPr>
        <w:t>over how the project will address</w:t>
      </w:r>
      <w:r w:rsidRPr="00A959BE">
        <w:rPr>
          <w:szCs w:val="24"/>
        </w:rPr>
        <w:t xml:space="preserve"> quality</w:t>
      </w:r>
      <w:r w:rsidR="003E07A1">
        <w:rPr>
          <w:szCs w:val="24"/>
        </w:rPr>
        <w:t>;</w:t>
      </w:r>
      <w:r w:rsidRPr="00A959BE">
        <w:rPr>
          <w:szCs w:val="24"/>
        </w:rPr>
        <w:t xml:space="preserve"> </w:t>
      </w:r>
      <w:r w:rsidR="003E07A1">
        <w:rPr>
          <w:szCs w:val="24"/>
        </w:rPr>
        <w:t>it should also</w:t>
      </w:r>
      <w:r w:rsidRPr="00A959BE">
        <w:rPr>
          <w:szCs w:val="24"/>
        </w:rPr>
        <w:t xml:space="preserve"> st</w:t>
      </w:r>
      <w:r w:rsidR="003E07A1">
        <w:rPr>
          <w:szCs w:val="24"/>
        </w:rPr>
        <w:t>ate the specific requirements related to</w:t>
      </w:r>
      <w:r w:rsidRPr="00A959BE">
        <w:rPr>
          <w:szCs w:val="24"/>
        </w:rPr>
        <w:t xml:space="preserve"> process quality or product quality. This section should include which quality tools will be used to monitor and control quality and how those tools will be used on the project. </w:t>
      </w:r>
    </w:p>
    <w:p w:rsidR="00A959BE" w:rsidRPr="00A959BE" w:rsidRDefault="00A959BE" w:rsidP="007F19AB">
      <w:pPr>
        <w:suppressAutoHyphens/>
        <w:spacing w:after="0" w:line="240" w:lineRule="auto"/>
        <w:rPr>
          <w:szCs w:val="24"/>
        </w:rPr>
      </w:pPr>
    </w:p>
    <w:p w:rsidR="009B253E" w:rsidRPr="00A959BE" w:rsidRDefault="003E07A1" w:rsidP="007F19AB">
      <w:pPr>
        <w:suppressAutoHyphens/>
        <w:spacing w:after="0" w:line="240" w:lineRule="auto"/>
        <w:rPr>
          <w:sz w:val="20"/>
        </w:rPr>
      </w:pPr>
      <w:r>
        <w:rPr>
          <w:szCs w:val="24"/>
        </w:rPr>
        <w:t xml:space="preserve">Details should </w:t>
      </w:r>
      <w:r w:rsidR="002C4793" w:rsidRPr="00A959BE">
        <w:rPr>
          <w:szCs w:val="24"/>
        </w:rPr>
        <w:t>be provided on the quality standards and requirements, the quality s</w:t>
      </w:r>
      <w:r>
        <w:rPr>
          <w:szCs w:val="24"/>
        </w:rPr>
        <w:t>tandard type, what metrics will</w:t>
      </w:r>
      <w:r w:rsidR="002C4793" w:rsidRPr="00A959BE">
        <w:rPr>
          <w:szCs w:val="24"/>
        </w:rPr>
        <w:t xml:space="preserve"> be monitored,</w:t>
      </w:r>
      <w:r w:rsidR="004478A8">
        <w:rPr>
          <w:szCs w:val="24"/>
        </w:rPr>
        <w:t xml:space="preserve"> and the levels or standards a</w:t>
      </w:r>
      <w:r w:rsidR="002C4793" w:rsidRPr="00A959BE">
        <w:rPr>
          <w:szCs w:val="24"/>
        </w:rPr>
        <w:t xml:space="preserve"> product must </w:t>
      </w:r>
      <w:r>
        <w:rPr>
          <w:szCs w:val="24"/>
        </w:rPr>
        <w:t>meet to be considered of sufficient quality.</w:t>
      </w:r>
      <w:r w:rsidR="00A959BE" w:rsidRPr="00A959BE">
        <w:rPr>
          <w:sz w:val="20"/>
        </w:rPr>
        <w:t xml:space="preserve"> </w:t>
      </w:r>
      <w:r>
        <w:rPr>
          <w:szCs w:val="24"/>
        </w:rPr>
        <w:t>E</w:t>
      </w:r>
      <w:r w:rsidR="002C4793" w:rsidRPr="00A959BE">
        <w:rPr>
          <w:szCs w:val="24"/>
        </w:rPr>
        <w:t>xample:</w:t>
      </w:r>
    </w:p>
    <w:p w:rsidR="00A959BE" w:rsidRPr="00A959BE" w:rsidRDefault="00A959BE" w:rsidP="007F19AB">
      <w:pPr>
        <w:suppressAutoHyphens/>
        <w:spacing w:after="0" w:line="240" w:lineRule="auto"/>
        <w:rPr>
          <w:sz w:val="20"/>
        </w:rPr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430"/>
        <w:gridCol w:w="1990"/>
        <w:gridCol w:w="2415"/>
      </w:tblGrid>
      <w:tr w:rsidR="009B253E" w:rsidRPr="00A959BE">
        <w:tc>
          <w:tcPr>
            <w:tcW w:w="2515" w:type="dxa"/>
            <w:shd w:val="clear" w:color="auto" w:fill="D9D9D9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Quality Standard Name</w:t>
            </w:r>
          </w:p>
        </w:tc>
        <w:tc>
          <w:tcPr>
            <w:tcW w:w="2430" w:type="dxa"/>
            <w:shd w:val="clear" w:color="auto" w:fill="D9D9D9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Quality Standard Type</w:t>
            </w:r>
          </w:p>
        </w:tc>
        <w:tc>
          <w:tcPr>
            <w:tcW w:w="1990" w:type="dxa"/>
            <w:shd w:val="clear" w:color="auto" w:fill="D9D9D9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 xml:space="preserve">Quality Metric </w:t>
            </w:r>
          </w:p>
        </w:tc>
        <w:tc>
          <w:tcPr>
            <w:tcW w:w="2415" w:type="dxa"/>
            <w:shd w:val="clear" w:color="auto" w:fill="D9D9D9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 xml:space="preserve">Quality Standard </w:t>
            </w:r>
          </w:p>
        </w:tc>
      </w:tr>
      <w:tr w:rsidR="009B253E" w:rsidRPr="00A959BE">
        <w:tc>
          <w:tcPr>
            <w:tcW w:w="2515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New manufacturing process</w:t>
            </w:r>
          </w:p>
        </w:tc>
        <w:tc>
          <w:tcPr>
            <w:tcW w:w="2430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Process Quality</w:t>
            </w:r>
          </w:p>
        </w:tc>
        <w:tc>
          <w:tcPr>
            <w:tcW w:w="1990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Manufacturing process cycle times</w:t>
            </w:r>
          </w:p>
        </w:tc>
        <w:tc>
          <w:tcPr>
            <w:tcW w:w="2415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Cycle time per unit should decrease by 1 min per unit</w:t>
            </w:r>
          </w:p>
        </w:tc>
      </w:tr>
      <w:tr w:rsidR="009B253E" w:rsidRPr="00A959BE">
        <w:tc>
          <w:tcPr>
            <w:tcW w:w="2515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4478A8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New w</w:t>
            </w:r>
            <w:r w:rsidR="002C4793" w:rsidRPr="00A959BE">
              <w:rPr>
                <w:szCs w:val="24"/>
              </w:rPr>
              <w:t>i</w:t>
            </w:r>
            <w:r w:rsidR="003E07A1">
              <w:rPr>
                <w:szCs w:val="24"/>
              </w:rPr>
              <w:t>d</w:t>
            </w:r>
            <w:r w:rsidR="002C4793" w:rsidRPr="00A959BE">
              <w:rPr>
                <w:szCs w:val="24"/>
              </w:rPr>
              <w:t xml:space="preserve">get </w:t>
            </w:r>
          </w:p>
        </w:tc>
        <w:tc>
          <w:tcPr>
            <w:tcW w:w="2430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Product Quality</w:t>
            </w:r>
          </w:p>
        </w:tc>
        <w:tc>
          <w:tcPr>
            <w:tcW w:w="1990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5118C9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Defects per 1000</w:t>
            </w:r>
          </w:p>
        </w:tc>
        <w:tc>
          <w:tcPr>
            <w:tcW w:w="2415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667AF8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Fewer</w:t>
            </w:r>
            <w:r w:rsidR="002C4793" w:rsidRPr="00A959BE">
              <w:rPr>
                <w:szCs w:val="24"/>
              </w:rPr>
              <w:t xml:space="preserve"> than 10 defects per 100</w:t>
            </w:r>
            <w:r w:rsidR="005118C9">
              <w:rPr>
                <w:szCs w:val="24"/>
              </w:rPr>
              <w:t>0</w:t>
            </w:r>
          </w:p>
        </w:tc>
      </w:tr>
      <w:tr w:rsidR="009B253E" w:rsidRPr="00A959BE">
        <w:tc>
          <w:tcPr>
            <w:tcW w:w="2515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2430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1990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2415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</w:tr>
    </w:tbl>
    <w:p w:rsidR="009B253E" w:rsidRPr="00A959BE" w:rsidRDefault="00A959BE" w:rsidP="00A959BE">
      <w:pPr>
        <w:suppressAutoHyphens/>
        <w:spacing w:after="0" w:line="240" w:lineRule="auto"/>
        <w:jc w:val="center"/>
        <w:rPr>
          <w:i/>
          <w:sz w:val="20"/>
        </w:rPr>
      </w:pPr>
      <w:r w:rsidRPr="00A959BE">
        <w:rPr>
          <w:i/>
          <w:szCs w:val="24"/>
        </w:rPr>
        <w:t>Table 1,</w:t>
      </w:r>
      <w:r w:rsidR="002C4793" w:rsidRPr="00A959BE">
        <w:rPr>
          <w:i/>
          <w:szCs w:val="24"/>
        </w:rPr>
        <w:t xml:space="preserve"> Quality Approach Standards and Requirements</w:t>
      </w:r>
    </w:p>
    <w:p w:rsidR="00A959BE" w:rsidRPr="00A959BE" w:rsidRDefault="00A959BE" w:rsidP="007F19AB">
      <w:pPr>
        <w:suppressAutoHyphens/>
        <w:spacing w:after="0" w:line="240" w:lineRule="auto"/>
        <w:rPr>
          <w:b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Quality Assurance</w:t>
      </w:r>
    </w:p>
    <w:p w:rsidR="009B253E" w:rsidRDefault="002C4793" w:rsidP="007F19AB">
      <w:pPr>
        <w:suppressAutoHyphens/>
        <w:spacing w:after="0" w:line="240" w:lineRule="auto"/>
        <w:rPr>
          <w:szCs w:val="24"/>
        </w:rPr>
      </w:pPr>
      <w:r w:rsidRPr="00625AF5">
        <w:rPr>
          <w:szCs w:val="24"/>
        </w:rPr>
        <w:t xml:space="preserve">Describe the quality assurance processes used to audit </w:t>
      </w:r>
      <w:r w:rsidR="004478A8">
        <w:rPr>
          <w:szCs w:val="24"/>
        </w:rPr>
        <w:t>processes/</w:t>
      </w:r>
      <w:r w:rsidRPr="00625AF5">
        <w:rPr>
          <w:szCs w:val="24"/>
        </w:rPr>
        <w:t>products</w:t>
      </w:r>
      <w:r w:rsidR="004478A8">
        <w:rPr>
          <w:szCs w:val="24"/>
        </w:rPr>
        <w:t xml:space="preserve">, including sample rates, </w:t>
      </w:r>
      <w:r w:rsidRPr="00625AF5">
        <w:rPr>
          <w:szCs w:val="24"/>
        </w:rPr>
        <w:t>auditing methods, and the frequency of audits.</w:t>
      </w:r>
      <w:r w:rsidR="007F19AB" w:rsidRPr="00625AF5">
        <w:rPr>
          <w:szCs w:val="24"/>
        </w:rPr>
        <w:t xml:space="preserve"> </w:t>
      </w:r>
      <w:r w:rsidRPr="00625AF5">
        <w:rPr>
          <w:szCs w:val="24"/>
        </w:rPr>
        <w:t>Example:</w:t>
      </w:r>
    </w:p>
    <w:p w:rsidR="00625AF5" w:rsidRPr="00625AF5" w:rsidRDefault="00625AF5" w:rsidP="007F19AB">
      <w:pPr>
        <w:suppressAutoHyphens/>
        <w:spacing w:after="0" w:line="240" w:lineRule="auto"/>
        <w:rPr>
          <w:sz w:val="20"/>
        </w:rPr>
      </w:pPr>
    </w:p>
    <w:tbl>
      <w:tblPr>
        <w:tblStyle w:val="a0"/>
        <w:tblW w:w="89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2043"/>
        <w:gridCol w:w="3062"/>
        <w:gridCol w:w="1819"/>
      </w:tblGrid>
      <w:tr w:rsidR="009B253E" w:rsidRPr="00625AF5">
        <w:tc>
          <w:tcPr>
            <w:tcW w:w="2043" w:type="dxa"/>
            <w:shd w:val="clear" w:color="auto" w:fill="D9D9D9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Quality Standard Name</w:t>
            </w:r>
          </w:p>
        </w:tc>
        <w:tc>
          <w:tcPr>
            <w:tcW w:w="2043" w:type="dxa"/>
            <w:shd w:val="clear" w:color="auto" w:fill="D9D9D9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QA Process Name</w:t>
            </w:r>
          </w:p>
        </w:tc>
        <w:tc>
          <w:tcPr>
            <w:tcW w:w="3062" w:type="dxa"/>
            <w:shd w:val="clear" w:color="auto" w:fill="D9D9D9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QA Methodology</w:t>
            </w:r>
          </w:p>
        </w:tc>
        <w:tc>
          <w:tcPr>
            <w:tcW w:w="1819" w:type="dxa"/>
            <w:shd w:val="clear" w:color="auto" w:fill="D9D9D9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 xml:space="preserve">Frequency </w:t>
            </w:r>
          </w:p>
        </w:tc>
      </w:tr>
      <w:tr w:rsidR="009B253E" w:rsidRPr="00625AF5">
        <w:tc>
          <w:tcPr>
            <w:tcW w:w="2043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New manufacturing process</w:t>
            </w:r>
          </w:p>
        </w:tc>
        <w:tc>
          <w:tcPr>
            <w:tcW w:w="2043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Production manufacturing waste analysis</w:t>
            </w:r>
          </w:p>
        </w:tc>
        <w:tc>
          <w:tcPr>
            <w:tcW w:w="3062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 xml:space="preserve">Project team business analysts will take monthly cycle time stats from each production cell for 10 randomly sampled days in a month and compare to cycle times before install to 10 days after install. Statistical testing will be used to validate </w:t>
            </w:r>
            <w:r w:rsidRPr="00625AF5">
              <w:rPr>
                <w:szCs w:val="24"/>
              </w:rPr>
              <w:lastRenderedPageBreak/>
              <w:t>that increase</w:t>
            </w:r>
            <w:r w:rsidR="00667AF8">
              <w:rPr>
                <w:szCs w:val="24"/>
              </w:rPr>
              <w:t>s</w:t>
            </w:r>
            <w:r w:rsidRPr="00625AF5">
              <w:rPr>
                <w:szCs w:val="24"/>
              </w:rPr>
              <w:t xml:space="preserve"> or decreases are statistically significantly different. </w:t>
            </w:r>
          </w:p>
        </w:tc>
        <w:tc>
          <w:tcPr>
            <w:tcW w:w="1819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lastRenderedPageBreak/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Monthly</w:t>
            </w:r>
          </w:p>
        </w:tc>
      </w:tr>
      <w:tr w:rsidR="009B253E" w:rsidRPr="00625AF5">
        <w:tc>
          <w:tcPr>
            <w:tcW w:w="2043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lastRenderedPageBreak/>
              <w:t>Example:</w:t>
            </w:r>
          </w:p>
          <w:p w:rsidR="009B253E" w:rsidRPr="00625AF5" w:rsidRDefault="004478A8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New w</w:t>
            </w:r>
            <w:r w:rsidR="002C4793" w:rsidRPr="00625AF5">
              <w:rPr>
                <w:szCs w:val="24"/>
              </w:rPr>
              <w:t>i</w:t>
            </w:r>
            <w:r>
              <w:rPr>
                <w:szCs w:val="24"/>
              </w:rPr>
              <w:t>d</w:t>
            </w:r>
            <w:r w:rsidR="002C4793" w:rsidRPr="00625AF5">
              <w:rPr>
                <w:szCs w:val="24"/>
              </w:rPr>
              <w:t>get</w:t>
            </w:r>
          </w:p>
        </w:tc>
        <w:tc>
          <w:tcPr>
            <w:tcW w:w="2043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Widget sample audit</w:t>
            </w:r>
          </w:p>
        </w:tc>
        <w:tc>
          <w:tcPr>
            <w:tcW w:w="3062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10% of all widgets produced will be sampled by the QA team visually inspected.</w:t>
            </w:r>
          </w:p>
        </w:tc>
        <w:tc>
          <w:tcPr>
            <w:tcW w:w="1819" w:type="dxa"/>
          </w:tcPr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Example:</w:t>
            </w:r>
          </w:p>
          <w:p w:rsidR="009B253E" w:rsidRPr="00625AF5" w:rsidRDefault="002C4793" w:rsidP="007F19AB">
            <w:pPr>
              <w:suppressAutoHyphens/>
              <w:rPr>
                <w:sz w:val="20"/>
              </w:rPr>
            </w:pPr>
            <w:r w:rsidRPr="00625AF5">
              <w:rPr>
                <w:szCs w:val="24"/>
              </w:rPr>
              <w:t>Daily</w:t>
            </w:r>
          </w:p>
        </w:tc>
      </w:tr>
      <w:tr w:rsidR="009B253E" w:rsidRPr="00625AF5">
        <w:tc>
          <w:tcPr>
            <w:tcW w:w="2043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2043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062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1819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</w:tr>
      <w:tr w:rsidR="009B253E" w:rsidRPr="00625AF5">
        <w:tc>
          <w:tcPr>
            <w:tcW w:w="2043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2043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062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1819" w:type="dxa"/>
          </w:tcPr>
          <w:p w:rsidR="009B253E" w:rsidRPr="00625AF5" w:rsidRDefault="009B253E" w:rsidP="007F19AB">
            <w:pPr>
              <w:suppressAutoHyphens/>
              <w:rPr>
                <w:sz w:val="20"/>
              </w:rPr>
            </w:pPr>
          </w:p>
        </w:tc>
      </w:tr>
    </w:tbl>
    <w:p w:rsidR="009B253E" w:rsidRPr="00A959BE" w:rsidRDefault="00A959BE" w:rsidP="00A959BE">
      <w:pPr>
        <w:suppressAutoHyphens/>
        <w:spacing w:after="0" w:line="240" w:lineRule="auto"/>
        <w:jc w:val="center"/>
        <w:rPr>
          <w:i/>
          <w:sz w:val="20"/>
        </w:rPr>
      </w:pPr>
      <w:r>
        <w:rPr>
          <w:i/>
          <w:szCs w:val="24"/>
        </w:rPr>
        <w:t>Table 2,</w:t>
      </w:r>
      <w:r w:rsidR="002C4793" w:rsidRPr="00A959BE">
        <w:rPr>
          <w:i/>
          <w:szCs w:val="24"/>
        </w:rPr>
        <w:t xml:space="preserve"> Quality Assurance Processes, Methodology, and Frequency</w:t>
      </w:r>
    </w:p>
    <w:p w:rsidR="009B253E" w:rsidRPr="00A959BE" w:rsidRDefault="002C4793" w:rsidP="007F19AB">
      <w:pPr>
        <w:suppressAutoHyphens/>
        <w:spacing w:after="0" w:line="240" w:lineRule="auto"/>
        <w:rPr>
          <w:i/>
          <w:sz w:val="20"/>
        </w:rPr>
      </w:pPr>
      <w:r w:rsidRPr="00A959BE">
        <w:rPr>
          <w:i/>
          <w:szCs w:val="24"/>
        </w:rPr>
        <w:t xml:space="preserve"> </w:t>
      </w: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Quality Control</w:t>
      </w:r>
    </w:p>
    <w:p w:rsidR="009B253E" w:rsidRDefault="002C4793" w:rsidP="007F19AB">
      <w:pPr>
        <w:suppressAutoHyphens/>
        <w:spacing w:after="0" w:line="240" w:lineRule="auto"/>
        <w:rPr>
          <w:szCs w:val="24"/>
        </w:rPr>
      </w:pPr>
      <w:r w:rsidRPr="00A959BE">
        <w:rPr>
          <w:szCs w:val="24"/>
        </w:rPr>
        <w:t>Describe the control limits of the quality assurance process and what is required to happen if a process or product audit falls above or below the defined quality metric established in the quality management approach section. Example:</w:t>
      </w:r>
    </w:p>
    <w:p w:rsidR="00625AF5" w:rsidRPr="00A959BE" w:rsidRDefault="00625AF5" w:rsidP="007F19AB">
      <w:pPr>
        <w:suppressAutoHyphens/>
        <w:spacing w:after="0" w:line="240" w:lineRule="auto"/>
        <w:rPr>
          <w:sz w:val="20"/>
        </w:rPr>
      </w:pP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B253E" w:rsidRPr="00A959BE">
        <w:tc>
          <w:tcPr>
            <w:tcW w:w="3116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Quality Standard Name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Quality Thresholds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Quality Response</w:t>
            </w:r>
          </w:p>
        </w:tc>
      </w:tr>
      <w:tr w:rsidR="009B253E" w:rsidRPr="00A959BE">
        <w:tc>
          <w:tcPr>
            <w:tcW w:w="3116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New manufacturing process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Same cycle time or longer for any production cell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Root cause analysis of production cell process to identify what is causing longer cycle times</w:t>
            </w:r>
          </w:p>
        </w:tc>
      </w:tr>
      <w:tr w:rsidR="009B253E" w:rsidRPr="00A959BE">
        <w:tc>
          <w:tcPr>
            <w:tcW w:w="3116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5118C9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New w</w:t>
            </w:r>
            <w:r w:rsidR="002C4793" w:rsidRPr="00A959BE">
              <w:rPr>
                <w:szCs w:val="24"/>
              </w:rPr>
              <w:t>i</w:t>
            </w:r>
            <w:r>
              <w:rPr>
                <w:szCs w:val="24"/>
              </w:rPr>
              <w:t>d</w:t>
            </w:r>
            <w:r w:rsidR="002C4793" w:rsidRPr="00A959BE">
              <w:rPr>
                <w:szCs w:val="24"/>
              </w:rPr>
              <w:t>get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Defects are &gt; 10 per 100</w:t>
            </w:r>
            <w:r w:rsidR="005118C9">
              <w:rPr>
                <w:szCs w:val="24"/>
              </w:rPr>
              <w:t>0</w:t>
            </w:r>
          </w:p>
        </w:tc>
        <w:tc>
          <w:tcPr>
            <w:tcW w:w="3117" w:type="dxa"/>
          </w:tcPr>
          <w:p w:rsidR="009B253E" w:rsidRPr="00A959BE" w:rsidRDefault="002C4793" w:rsidP="007F19AB">
            <w:pPr>
              <w:suppressAutoHyphens/>
              <w:rPr>
                <w:sz w:val="20"/>
              </w:rPr>
            </w:pPr>
            <w:r w:rsidRPr="00A959BE">
              <w:rPr>
                <w:szCs w:val="24"/>
              </w:rPr>
              <w:t>Example:</w:t>
            </w:r>
          </w:p>
          <w:p w:rsidR="009B253E" w:rsidRPr="00A959BE" w:rsidRDefault="005118C9" w:rsidP="007F19AB">
            <w:pPr>
              <w:suppressAutoHyphens/>
              <w:rPr>
                <w:sz w:val="20"/>
              </w:rPr>
            </w:pPr>
            <w:r>
              <w:rPr>
                <w:szCs w:val="24"/>
              </w:rPr>
              <w:t>Full end-to-</w:t>
            </w:r>
            <w:r w:rsidR="002C4793" w:rsidRPr="00A959BE">
              <w:rPr>
                <w:szCs w:val="24"/>
              </w:rPr>
              <w:t>end analysis of production parts, tools, and process to identi</w:t>
            </w:r>
            <w:r>
              <w:rPr>
                <w:szCs w:val="24"/>
              </w:rPr>
              <w:t>fy root cause of widget defects</w:t>
            </w:r>
          </w:p>
        </w:tc>
      </w:tr>
      <w:tr w:rsidR="009B253E" w:rsidRPr="00A959BE">
        <w:tc>
          <w:tcPr>
            <w:tcW w:w="3116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117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117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</w:tr>
      <w:tr w:rsidR="009B253E" w:rsidRPr="00A959BE">
        <w:tc>
          <w:tcPr>
            <w:tcW w:w="3116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117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  <w:tc>
          <w:tcPr>
            <w:tcW w:w="3117" w:type="dxa"/>
          </w:tcPr>
          <w:p w:rsidR="009B253E" w:rsidRPr="00A959BE" w:rsidRDefault="009B253E" w:rsidP="007F19AB">
            <w:pPr>
              <w:suppressAutoHyphens/>
              <w:rPr>
                <w:sz w:val="20"/>
              </w:rPr>
            </w:pPr>
          </w:p>
        </w:tc>
      </w:tr>
    </w:tbl>
    <w:p w:rsidR="009B253E" w:rsidRPr="00625AF5" w:rsidRDefault="00625AF5" w:rsidP="00625AF5">
      <w:pPr>
        <w:suppressAutoHyphens/>
        <w:spacing w:after="0" w:line="240" w:lineRule="auto"/>
        <w:jc w:val="center"/>
        <w:rPr>
          <w:i/>
        </w:rPr>
      </w:pPr>
      <w:r>
        <w:rPr>
          <w:i/>
        </w:rPr>
        <w:t>Table 3, Quality Thresholds and Responses</w:t>
      </w:r>
    </w:p>
    <w:p w:rsidR="00625AF5" w:rsidRDefault="00625AF5" w:rsidP="007F19AB">
      <w:pPr>
        <w:suppressAutoHyphens/>
        <w:spacing w:after="0" w:line="240" w:lineRule="auto"/>
      </w:pPr>
    </w:p>
    <w:p w:rsidR="009B253E" w:rsidRPr="00A959BE" w:rsidRDefault="002C4793" w:rsidP="007F19AB">
      <w:pPr>
        <w:suppressAutoHyphens/>
        <w:spacing w:after="0" w:line="240" w:lineRule="auto"/>
        <w:rPr>
          <w:b/>
        </w:rPr>
      </w:pPr>
      <w:r w:rsidRPr="00A959BE">
        <w:rPr>
          <w:b/>
          <w:sz w:val="28"/>
          <w:szCs w:val="32"/>
        </w:rPr>
        <w:t xml:space="preserve">Risk Management Plan </w:t>
      </w:r>
    </w:p>
    <w:p w:rsidR="00A959BE" w:rsidRDefault="00A959BE" w:rsidP="007F19AB">
      <w:pPr>
        <w:suppressAutoHyphens/>
        <w:spacing w:after="0" w:line="240" w:lineRule="auto"/>
        <w:rPr>
          <w:b/>
          <w:sz w:val="24"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Introduction</w:t>
      </w:r>
    </w:p>
    <w:p w:rsidR="009B253E" w:rsidRPr="00A959BE" w:rsidRDefault="002C4793" w:rsidP="007F19AB">
      <w:pPr>
        <w:suppressAutoHyphens/>
        <w:spacing w:after="0" w:line="240" w:lineRule="auto"/>
        <w:rPr>
          <w:sz w:val="20"/>
        </w:rPr>
      </w:pPr>
      <w:r w:rsidRPr="00A959BE">
        <w:rPr>
          <w:szCs w:val="24"/>
        </w:rPr>
        <w:t>Provide a brief summary of what your project risk management plan covers.</w:t>
      </w:r>
    </w:p>
    <w:p w:rsidR="00A959BE" w:rsidRPr="00A959BE" w:rsidRDefault="00A959BE" w:rsidP="007F19AB">
      <w:pPr>
        <w:suppressAutoHyphens/>
        <w:spacing w:after="0" w:line="240" w:lineRule="auto"/>
        <w:rPr>
          <w:b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Risk Management Approach</w:t>
      </w:r>
    </w:p>
    <w:p w:rsidR="009B253E" w:rsidRDefault="002C4793" w:rsidP="007F19AB">
      <w:pPr>
        <w:suppressAutoHyphens/>
        <w:spacing w:after="0" w:line="240" w:lineRule="auto"/>
        <w:rPr>
          <w:szCs w:val="24"/>
        </w:rPr>
      </w:pPr>
      <w:r w:rsidRPr="00A959BE">
        <w:rPr>
          <w:szCs w:val="24"/>
        </w:rPr>
        <w:t>Describe the qualitative or quantitative methodology and approach taken to identify</w:t>
      </w:r>
      <w:r w:rsidR="005118C9">
        <w:rPr>
          <w:szCs w:val="24"/>
        </w:rPr>
        <w:t>ing</w:t>
      </w:r>
      <w:r w:rsidRPr="00A959BE">
        <w:rPr>
          <w:szCs w:val="24"/>
        </w:rPr>
        <w:t xml:space="preserve"> the risks in the risk register, how risks impact </w:t>
      </w:r>
      <w:r w:rsidR="005118C9">
        <w:rPr>
          <w:szCs w:val="24"/>
        </w:rPr>
        <w:t xml:space="preserve">were </w:t>
      </w:r>
      <w:r w:rsidRPr="00A959BE">
        <w:rPr>
          <w:szCs w:val="24"/>
        </w:rPr>
        <w:t xml:space="preserve">assessed for prioritization, and how risk responses were determined. </w:t>
      </w:r>
    </w:p>
    <w:p w:rsidR="00A959BE" w:rsidRPr="00A959BE" w:rsidRDefault="00A959BE" w:rsidP="007F19AB">
      <w:pPr>
        <w:suppressAutoHyphens/>
        <w:spacing w:after="0" w:line="240" w:lineRule="auto"/>
        <w:rPr>
          <w:sz w:val="20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Risk Register</w:t>
      </w:r>
    </w:p>
    <w:p w:rsidR="009B253E" w:rsidRDefault="002C4793" w:rsidP="007F19AB">
      <w:pPr>
        <w:suppressAutoHyphens/>
        <w:spacing w:after="0" w:line="240" w:lineRule="auto"/>
      </w:pPr>
      <w:bookmarkStart w:id="1" w:name="_gjdgxs" w:colFirst="0" w:colLast="0"/>
      <w:bookmarkEnd w:id="1"/>
      <w:r w:rsidRPr="00A959BE">
        <w:t>This section provides a brief overview of what the</w:t>
      </w:r>
      <w:r w:rsidR="003E07A1">
        <w:t xml:space="preserve"> register covers. The register i</w:t>
      </w:r>
      <w:r w:rsidRPr="00A959BE">
        <w:t>dentifies the results of risk identification and impact analys</w:t>
      </w:r>
      <w:r w:rsidR="005118C9">
        <w:t>is, risk prioritization, and</w:t>
      </w:r>
      <w:r w:rsidRPr="00A959BE">
        <w:t xml:space="preserve"> risk response strategies. Example:</w:t>
      </w:r>
    </w:p>
    <w:p w:rsidR="00A959BE" w:rsidRPr="00A959BE" w:rsidRDefault="00A959BE" w:rsidP="007F19AB">
      <w:pPr>
        <w:suppressAutoHyphens/>
        <w:spacing w:after="0" w:line="240" w:lineRule="auto"/>
      </w:pPr>
    </w:p>
    <w:tbl>
      <w:tblPr>
        <w:tblStyle w:val="a2"/>
        <w:tblW w:w="9444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1116"/>
        <w:gridCol w:w="1117"/>
        <w:gridCol w:w="1830"/>
        <w:gridCol w:w="1530"/>
        <w:gridCol w:w="1155"/>
        <w:gridCol w:w="1155"/>
      </w:tblGrid>
      <w:tr w:rsidR="009B253E" w:rsidRPr="00A959BE">
        <w:trPr>
          <w:trHeight w:val="620"/>
        </w:trPr>
        <w:tc>
          <w:tcPr>
            <w:tcW w:w="1541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lastRenderedPageBreak/>
              <w:t>Risk</w:t>
            </w:r>
          </w:p>
        </w:tc>
        <w:tc>
          <w:tcPr>
            <w:tcW w:w="1116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Risk Scoring</w:t>
            </w:r>
          </w:p>
          <w:p w:rsidR="009B253E" w:rsidRPr="00A959BE" w:rsidRDefault="009B253E" w:rsidP="007F19AB">
            <w:pPr>
              <w:suppressAutoHyphens/>
            </w:pPr>
          </w:p>
        </w:tc>
        <w:tc>
          <w:tcPr>
            <w:tcW w:w="1117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Risk Ranking</w:t>
            </w:r>
          </w:p>
        </w:tc>
        <w:tc>
          <w:tcPr>
            <w:tcW w:w="1830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Response Type</w:t>
            </w:r>
          </w:p>
        </w:tc>
        <w:tc>
          <w:tcPr>
            <w:tcW w:w="1530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Response Strategy</w:t>
            </w:r>
          </w:p>
        </w:tc>
        <w:tc>
          <w:tcPr>
            <w:tcW w:w="1155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Trigger</w:t>
            </w:r>
          </w:p>
        </w:tc>
        <w:tc>
          <w:tcPr>
            <w:tcW w:w="1155" w:type="dxa"/>
            <w:shd w:val="clear" w:color="auto" w:fill="D9D9D9"/>
          </w:tcPr>
          <w:p w:rsidR="009B253E" w:rsidRPr="00A959BE" w:rsidRDefault="002C4793" w:rsidP="007F19AB">
            <w:pPr>
              <w:suppressAutoHyphens/>
            </w:pPr>
            <w:r w:rsidRPr="00A959BE">
              <w:t>Owner</w:t>
            </w:r>
          </w:p>
        </w:tc>
      </w:tr>
      <w:tr w:rsidR="009B253E" w:rsidRPr="00A959BE">
        <w:tc>
          <w:tcPr>
            <w:tcW w:w="1541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>Transition to new platform causes customer interface to be unavailable for more than 15 mins</w:t>
            </w:r>
          </w:p>
        </w:tc>
        <w:tc>
          <w:tcPr>
            <w:tcW w:w="1116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>25 (High)</w:t>
            </w:r>
          </w:p>
        </w:tc>
        <w:tc>
          <w:tcPr>
            <w:tcW w:w="1117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>1</w:t>
            </w:r>
          </w:p>
        </w:tc>
        <w:tc>
          <w:tcPr>
            <w:tcW w:w="1830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tabs>
                <w:tab w:val="left" w:pos="2050"/>
              </w:tabs>
              <w:suppressAutoHyphens/>
              <w:ind w:right="520"/>
            </w:pPr>
            <w:r w:rsidRPr="00A959BE">
              <w:t xml:space="preserve">Mitigation </w:t>
            </w:r>
          </w:p>
        </w:tc>
        <w:tc>
          <w:tcPr>
            <w:tcW w:w="1530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 xml:space="preserve">Customers will be sent to a redundant production environment based on the old platform </w:t>
            </w:r>
          </w:p>
        </w:tc>
        <w:tc>
          <w:tcPr>
            <w:tcW w:w="1155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 xml:space="preserve">If delays reach 14 mins </w:t>
            </w:r>
          </w:p>
        </w:tc>
        <w:tc>
          <w:tcPr>
            <w:tcW w:w="1155" w:type="dxa"/>
          </w:tcPr>
          <w:p w:rsidR="009B253E" w:rsidRPr="00A959BE" w:rsidRDefault="002C4793" w:rsidP="007F19AB">
            <w:pPr>
              <w:suppressAutoHyphens/>
            </w:pPr>
            <w:r w:rsidRPr="00A959BE">
              <w:t>Example:</w:t>
            </w:r>
          </w:p>
          <w:p w:rsidR="009B253E" w:rsidRPr="00A959BE" w:rsidRDefault="002C4793" w:rsidP="007F19AB">
            <w:pPr>
              <w:suppressAutoHyphens/>
            </w:pPr>
            <w:r w:rsidRPr="00A959BE">
              <w:t>Bob</w:t>
            </w:r>
          </w:p>
        </w:tc>
      </w:tr>
      <w:tr w:rsidR="009B253E" w:rsidRPr="00A959BE">
        <w:tc>
          <w:tcPr>
            <w:tcW w:w="1541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16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17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830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530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55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55" w:type="dxa"/>
          </w:tcPr>
          <w:p w:rsidR="009B253E" w:rsidRPr="00A959BE" w:rsidRDefault="009B253E" w:rsidP="007F19AB">
            <w:pPr>
              <w:suppressAutoHyphens/>
            </w:pPr>
          </w:p>
        </w:tc>
      </w:tr>
      <w:tr w:rsidR="009B253E" w:rsidRPr="00A959BE">
        <w:tc>
          <w:tcPr>
            <w:tcW w:w="1541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16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17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830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530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55" w:type="dxa"/>
          </w:tcPr>
          <w:p w:rsidR="009B253E" w:rsidRPr="00A959BE" w:rsidRDefault="009B253E" w:rsidP="007F19AB">
            <w:pPr>
              <w:suppressAutoHyphens/>
            </w:pPr>
          </w:p>
        </w:tc>
        <w:tc>
          <w:tcPr>
            <w:tcW w:w="1155" w:type="dxa"/>
          </w:tcPr>
          <w:p w:rsidR="009B253E" w:rsidRPr="00A959BE" w:rsidRDefault="009B253E" w:rsidP="007F19AB">
            <w:pPr>
              <w:suppressAutoHyphens/>
            </w:pPr>
          </w:p>
        </w:tc>
      </w:tr>
    </w:tbl>
    <w:p w:rsidR="009B253E" w:rsidRPr="00A959BE" w:rsidRDefault="00A959BE" w:rsidP="00A959BE">
      <w:pPr>
        <w:suppressAutoHyphens/>
        <w:spacing w:after="0" w:line="240" w:lineRule="auto"/>
        <w:jc w:val="center"/>
        <w:rPr>
          <w:i/>
        </w:rPr>
      </w:pPr>
      <w:r w:rsidRPr="00A959BE">
        <w:rPr>
          <w:i/>
        </w:rPr>
        <w:t>Table 1,</w:t>
      </w:r>
      <w:r w:rsidR="002C4793" w:rsidRPr="00A959BE">
        <w:rPr>
          <w:i/>
        </w:rPr>
        <w:t xml:space="preserve"> Risk Registry</w:t>
      </w:r>
    </w:p>
    <w:p w:rsidR="00A959BE" w:rsidRDefault="00A959BE" w:rsidP="007F19AB">
      <w:pPr>
        <w:suppressAutoHyphens/>
        <w:spacing w:after="0" w:line="240" w:lineRule="auto"/>
        <w:rPr>
          <w:b/>
          <w:sz w:val="24"/>
          <w:szCs w:val="24"/>
        </w:rPr>
      </w:pPr>
    </w:p>
    <w:p w:rsidR="009B253E" w:rsidRDefault="002C4793" w:rsidP="007F19AB">
      <w:pPr>
        <w:suppressAutoHyphens/>
        <w:spacing w:after="0" w:line="240" w:lineRule="auto"/>
      </w:pPr>
      <w:r>
        <w:rPr>
          <w:b/>
          <w:sz w:val="24"/>
          <w:szCs w:val="24"/>
        </w:rPr>
        <w:t>Control Risk Process</w:t>
      </w:r>
      <w:r>
        <w:rPr>
          <w:b/>
          <w:sz w:val="24"/>
          <w:szCs w:val="24"/>
        </w:rPr>
        <w:tab/>
      </w:r>
    </w:p>
    <w:p w:rsidR="009B253E" w:rsidRPr="00A959BE" w:rsidRDefault="002C4793" w:rsidP="007F19AB">
      <w:pPr>
        <w:suppressAutoHyphens/>
        <w:spacing w:after="0" w:line="240" w:lineRule="auto"/>
        <w:rPr>
          <w:sz w:val="20"/>
        </w:rPr>
      </w:pPr>
      <w:r w:rsidRPr="00A959BE">
        <w:rPr>
          <w:szCs w:val="24"/>
        </w:rPr>
        <w:t>Describe how risks will be measured and monitored</w:t>
      </w:r>
      <w:r w:rsidR="005118C9">
        <w:rPr>
          <w:szCs w:val="24"/>
        </w:rPr>
        <w:t>, and how</w:t>
      </w:r>
      <w:r w:rsidRPr="00A959BE">
        <w:rPr>
          <w:szCs w:val="24"/>
        </w:rPr>
        <w:t xml:space="preserve"> frequencies and processes </w:t>
      </w:r>
      <w:r w:rsidR="005118C9">
        <w:rPr>
          <w:szCs w:val="24"/>
        </w:rPr>
        <w:t>are involved in</w:t>
      </w:r>
      <w:r w:rsidRPr="00A959BE">
        <w:rPr>
          <w:szCs w:val="24"/>
        </w:rPr>
        <w:t xml:space="preserve"> risk audits.</w:t>
      </w:r>
      <w:r w:rsidR="007F19AB" w:rsidRPr="00A959BE">
        <w:rPr>
          <w:szCs w:val="24"/>
        </w:rPr>
        <w:t xml:space="preserve"> </w:t>
      </w:r>
    </w:p>
    <w:sectPr w:rsidR="009B253E" w:rsidRPr="00A959B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E7" w:rsidRDefault="009659E7" w:rsidP="007F19AB">
      <w:pPr>
        <w:spacing w:after="0" w:line="240" w:lineRule="auto"/>
      </w:pPr>
      <w:r>
        <w:separator/>
      </w:r>
    </w:p>
  </w:endnote>
  <w:endnote w:type="continuationSeparator" w:id="0">
    <w:p w:rsidR="009659E7" w:rsidRDefault="009659E7" w:rsidP="007F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E7" w:rsidRDefault="009659E7" w:rsidP="007F19AB">
      <w:pPr>
        <w:spacing w:after="0" w:line="240" w:lineRule="auto"/>
      </w:pPr>
      <w:r>
        <w:separator/>
      </w:r>
    </w:p>
  </w:footnote>
  <w:footnote w:type="continuationSeparator" w:id="0">
    <w:p w:rsidR="009659E7" w:rsidRDefault="009659E7" w:rsidP="007F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AB" w:rsidRDefault="007F19AB" w:rsidP="007F19AB">
    <w:pPr>
      <w:pStyle w:val="Header"/>
      <w:spacing w:after="200"/>
      <w:jc w:val="center"/>
    </w:pPr>
    <w:r>
      <w:rPr>
        <w:noProof/>
      </w:rPr>
      <w:drawing>
        <wp:inline distT="0" distB="0" distL="114300" distR="114300" wp14:anchorId="300F1D3D" wp14:editId="4EE1741E">
          <wp:extent cx="2743835" cy="408940"/>
          <wp:effectExtent l="0" t="0" r="0" b="0"/>
          <wp:docPr id="1" name="image01.jpg" descr="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E"/>
    <w:rsid w:val="000F1197"/>
    <w:rsid w:val="002104F5"/>
    <w:rsid w:val="002C4793"/>
    <w:rsid w:val="003E07A1"/>
    <w:rsid w:val="004478A8"/>
    <w:rsid w:val="004F0B0B"/>
    <w:rsid w:val="005118C9"/>
    <w:rsid w:val="00625AF5"/>
    <w:rsid w:val="00667AF8"/>
    <w:rsid w:val="00756A1C"/>
    <w:rsid w:val="00762C09"/>
    <w:rsid w:val="007F19AB"/>
    <w:rsid w:val="00807830"/>
    <w:rsid w:val="009659E7"/>
    <w:rsid w:val="009B253E"/>
    <w:rsid w:val="00A959BE"/>
    <w:rsid w:val="00CC5630"/>
    <w:rsid w:val="00E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A0833-9050-412E-9159-1B610510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F19AB"/>
    <w:pPr>
      <w:spacing w:line="240" w:lineRule="auto"/>
      <w:jc w:val="center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AB"/>
  </w:style>
  <w:style w:type="paragraph" w:styleId="Footer">
    <w:name w:val="footer"/>
    <w:basedOn w:val="Normal"/>
    <w:link w:val="FooterChar"/>
    <w:uiPriority w:val="99"/>
    <w:unhideWhenUsed/>
    <w:rsid w:val="007F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11497-4EE9-4D13-83C8-DD183215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BB5BE-93E7-4A69-A5B0-DDF281623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A0CF6-D137-4E30-9BF6-4823A67D2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Christopher</dc:creator>
  <cp:lastModifiedBy>Eddy Pantoja</cp:lastModifiedBy>
  <cp:revision>2</cp:revision>
  <dcterms:created xsi:type="dcterms:W3CDTF">2020-02-18T15:48:00Z</dcterms:created>
  <dcterms:modified xsi:type="dcterms:W3CDTF">2020-02-18T15:48:00Z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