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C6B" w:rsidRPr="001C04DA" w:rsidRDefault="00974C6B" w:rsidP="00974C6B">
      <w:pPr>
        <w:rPr>
          <w:lang w:val="uk-UA"/>
        </w:rPr>
      </w:pPr>
    </w:p>
    <w:p w:rsidR="00974C6B" w:rsidRPr="004B40AD" w:rsidRDefault="00974C6B" w:rsidP="00974C6B"/>
    <w:p w:rsidR="00974C6B" w:rsidRPr="004B40AD" w:rsidRDefault="00974C6B" w:rsidP="00974C6B"/>
    <w:p w:rsidR="00974C6B" w:rsidRPr="004B40AD" w:rsidRDefault="00974C6B" w:rsidP="00974C6B"/>
    <w:p w:rsidR="00974C6B" w:rsidRPr="004B40AD" w:rsidRDefault="00974C6B" w:rsidP="00974C6B"/>
    <w:p w:rsidR="00974C6B" w:rsidRDefault="00974C6B" w:rsidP="00974C6B"/>
    <w:p w:rsidR="00974C6B" w:rsidRDefault="00974C6B" w:rsidP="00974C6B"/>
    <w:p w:rsidR="00974C6B" w:rsidRDefault="00974C6B" w:rsidP="00974C6B"/>
    <w:p w:rsidR="00974C6B" w:rsidRPr="004B40AD" w:rsidRDefault="00974C6B" w:rsidP="00974C6B"/>
    <w:p w:rsidR="00974C6B" w:rsidRDefault="00974C6B" w:rsidP="00974C6B"/>
    <w:p w:rsidR="007F4032" w:rsidRDefault="007F4032" w:rsidP="007F4032">
      <w:pPr>
        <w:jc w:val="center"/>
      </w:pPr>
      <w:r>
        <w:t xml:space="preserve">Survey Analysis, Findings, and Recommendations </w:t>
      </w:r>
    </w:p>
    <w:p w:rsidR="00974C6B" w:rsidRPr="006D3588" w:rsidRDefault="00974C6B" w:rsidP="00974C6B">
      <w:pPr>
        <w:tabs>
          <w:tab w:val="left" w:pos="3861"/>
        </w:tabs>
        <w:jc w:val="center"/>
        <w:rPr>
          <w:szCs w:val="24"/>
        </w:rPr>
      </w:pPr>
      <w:r w:rsidRPr="006D3588">
        <w:rPr>
          <w:szCs w:val="24"/>
        </w:rPr>
        <w:t>Name</w:t>
      </w:r>
    </w:p>
    <w:p w:rsidR="00974C6B" w:rsidRPr="006D3588" w:rsidRDefault="00974C6B" w:rsidP="00974C6B">
      <w:pPr>
        <w:tabs>
          <w:tab w:val="left" w:pos="3861"/>
        </w:tabs>
        <w:jc w:val="center"/>
        <w:rPr>
          <w:szCs w:val="24"/>
        </w:rPr>
      </w:pPr>
      <w:r w:rsidRPr="006D3588">
        <w:rPr>
          <w:szCs w:val="24"/>
        </w:rPr>
        <w:t>Institutional Affiliation</w:t>
      </w:r>
    </w:p>
    <w:p w:rsidR="00974C6B" w:rsidRDefault="00974C6B" w:rsidP="00974C6B"/>
    <w:p w:rsidR="00974C6B" w:rsidRDefault="00974C6B" w:rsidP="00974C6B"/>
    <w:p w:rsidR="00974C6B" w:rsidRDefault="00974C6B" w:rsidP="00974C6B"/>
    <w:p w:rsidR="00974C6B" w:rsidRDefault="00974C6B" w:rsidP="00974C6B"/>
    <w:p w:rsidR="00974C6B" w:rsidRDefault="00974C6B" w:rsidP="00974C6B"/>
    <w:p w:rsidR="00974C6B" w:rsidRDefault="00974C6B" w:rsidP="00974C6B"/>
    <w:p w:rsidR="00974C6B" w:rsidRDefault="00974C6B" w:rsidP="00974C6B"/>
    <w:p w:rsidR="00974C6B" w:rsidRDefault="00974C6B" w:rsidP="00974C6B"/>
    <w:p w:rsidR="00974C6B" w:rsidRDefault="00974C6B" w:rsidP="00974C6B"/>
    <w:p w:rsidR="00974C6B" w:rsidRDefault="00974C6B" w:rsidP="00974C6B"/>
    <w:p w:rsidR="00BF26C7" w:rsidRDefault="007F4032" w:rsidP="00EB1334">
      <w:pPr>
        <w:jc w:val="center"/>
      </w:pPr>
      <w:r>
        <w:lastRenderedPageBreak/>
        <w:t xml:space="preserve">Survey Analysis, Findings, and Recommendations </w:t>
      </w:r>
    </w:p>
    <w:p w:rsidR="00DB3311" w:rsidRDefault="00FD6517" w:rsidP="00E01818">
      <w:pPr>
        <w:jc w:val="center"/>
        <w:rPr>
          <w:b/>
        </w:rPr>
      </w:pPr>
      <w:r>
        <w:rPr>
          <w:b/>
        </w:rPr>
        <w:t xml:space="preserve">Findings from Survey Analysis </w:t>
      </w:r>
    </w:p>
    <w:p w:rsidR="0030403F" w:rsidRDefault="005A371A" w:rsidP="0030403F">
      <w:pPr>
        <w:rPr>
          <w:b/>
        </w:rPr>
      </w:pPr>
      <w:r>
        <w:rPr>
          <w:b/>
        </w:rPr>
        <w:t xml:space="preserve">Highlights from Survey Analysis </w:t>
      </w:r>
    </w:p>
    <w:p w:rsidR="00EB082C" w:rsidRPr="00EB082C" w:rsidRDefault="00EB082C" w:rsidP="00262C1D">
      <w:pPr>
        <w:ind w:firstLine="720"/>
      </w:pPr>
      <w:r>
        <w:t xml:space="preserve">The following table provides a snapshot of the data analysis from the responses collected from the research participants. </w:t>
      </w:r>
      <w:r w:rsidR="00CD1BEF">
        <w:t xml:space="preserve">The survey was about Porsche’s new electric car, </w:t>
      </w:r>
      <w:proofErr w:type="spellStart"/>
      <w:r w:rsidR="00CD1BEF">
        <w:t>Taycan</w:t>
      </w:r>
      <w:proofErr w:type="spellEnd"/>
      <w:r w:rsidR="00CD1BEF">
        <w:t xml:space="preserve">. The questions asked sought to know people views Porsche’s new electric product and their considerations while looking for a car to purchase. </w:t>
      </w:r>
    </w:p>
    <w:tbl>
      <w:tblPr>
        <w:tblW w:w="96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1500"/>
        <w:gridCol w:w="3660"/>
      </w:tblGrid>
      <w:tr w:rsidR="00866126" w:rsidRPr="00866126" w:rsidTr="00775FD7">
        <w:trPr>
          <w:trHeight w:val="315"/>
        </w:trPr>
        <w:tc>
          <w:tcPr>
            <w:tcW w:w="4520" w:type="dxa"/>
            <w:shd w:val="clear" w:color="auto" w:fill="auto"/>
            <w:noWrap/>
            <w:vAlign w:val="center"/>
            <w:hideMark/>
          </w:tcPr>
          <w:p w:rsidR="00866126" w:rsidRPr="00866126" w:rsidRDefault="00866126" w:rsidP="00E27AAC">
            <w:pPr>
              <w:spacing w:line="276" w:lineRule="auto"/>
              <w:rPr>
                <w:b/>
                <w:color w:val="000000"/>
                <w:szCs w:val="24"/>
              </w:rPr>
            </w:pPr>
            <w:r w:rsidRPr="00866126">
              <w:rPr>
                <w:b/>
                <w:color w:val="000000"/>
                <w:szCs w:val="24"/>
              </w:rPr>
              <w:t>Item</w:t>
            </w:r>
          </w:p>
        </w:tc>
        <w:tc>
          <w:tcPr>
            <w:tcW w:w="5160" w:type="dxa"/>
            <w:gridSpan w:val="2"/>
            <w:shd w:val="clear" w:color="auto" w:fill="auto"/>
            <w:noWrap/>
            <w:vAlign w:val="center"/>
            <w:hideMark/>
          </w:tcPr>
          <w:p w:rsidR="00866126" w:rsidRPr="00866126" w:rsidRDefault="00866126" w:rsidP="00E27AAC">
            <w:pPr>
              <w:spacing w:line="276" w:lineRule="auto"/>
              <w:rPr>
                <w:b/>
                <w:color w:val="000000"/>
                <w:szCs w:val="24"/>
              </w:rPr>
            </w:pPr>
            <w:r w:rsidRPr="00866126">
              <w:rPr>
                <w:b/>
                <w:color w:val="000000"/>
                <w:szCs w:val="24"/>
              </w:rPr>
              <w:t xml:space="preserve">                             Percentages</w:t>
            </w:r>
          </w:p>
        </w:tc>
      </w:tr>
      <w:tr w:rsidR="00866126" w:rsidRPr="00866126" w:rsidTr="00866126">
        <w:trPr>
          <w:trHeight w:val="315"/>
        </w:trPr>
        <w:tc>
          <w:tcPr>
            <w:tcW w:w="4520" w:type="dxa"/>
            <w:shd w:val="clear" w:color="auto" w:fill="auto"/>
            <w:noWrap/>
            <w:vAlign w:val="center"/>
            <w:hideMark/>
          </w:tcPr>
          <w:p w:rsidR="00866126" w:rsidRPr="00866126" w:rsidRDefault="00866126" w:rsidP="00E27AAC">
            <w:pPr>
              <w:spacing w:line="276" w:lineRule="auto"/>
              <w:rPr>
                <w:b/>
                <w:color w:val="000000"/>
                <w:szCs w:val="24"/>
              </w:rPr>
            </w:pPr>
          </w:p>
        </w:tc>
        <w:tc>
          <w:tcPr>
            <w:tcW w:w="1500" w:type="dxa"/>
            <w:shd w:val="clear" w:color="auto" w:fill="auto"/>
            <w:noWrap/>
            <w:vAlign w:val="center"/>
            <w:hideMark/>
          </w:tcPr>
          <w:p w:rsidR="00866126" w:rsidRPr="00866126" w:rsidRDefault="00866126" w:rsidP="00E27AAC">
            <w:pPr>
              <w:spacing w:line="276" w:lineRule="auto"/>
              <w:jc w:val="center"/>
              <w:rPr>
                <w:b/>
                <w:color w:val="000000"/>
                <w:szCs w:val="24"/>
              </w:rPr>
            </w:pPr>
            <w:r w:rsidRPr="00866126">
              <w:rPr>
                <w:b/>
                <w:color w:val="000000"/>
                <w:szCs w:val="24"/>
              </w:rPr>
              <w:t>Rating</w:t>
            </w:r>
          </w:p>
        </w:tc>
        <w:tc>
          <w:tcPr>
            <w:tcW w:w="3660" w:type="dxa"/>
            <w:shd w:val="clear" w:color="auto" w:fill="auto"/>
            <w:noWrap/>
            <w:vAlign w:val="center"/>
            <w:hideMark/>
          </w:tcPr>
          <w:p w:rsidR="00866126" w:rsidRPr="00866126" w:rsidRDefault="00866126" w:rsidP="00E27AAC">
            <w:pPr>
              <w:spacing w:line="276" w:lineRule="auto"/>
              <w:jc w:val="center"/>
              <w:rPr>
                <w:b/>
                <w:color w:val="000000"/>
                <w:szCs w:val="24"/>
              </w:rPr>
            </w:pPr>
            <w:r w:rsidRPr="00866126">
              <w:rPr>
                <w:b/>
                <w:color w:val="000000"/>
                <w:szCs w:val="24"/>
              </w:rPr>
              <w:t>Participants' Take</w:t>
            </w:r>
          </w:p>
        </w:tc>
      </w:tr>
      <w:tr w:rsidR="00866126" w:rsidRPr="00866126" w:rsidTr="00866126">
        <w:trPr>
          <w:trHeight w:val="315"/>
        </w:trPr>
        <w:tc>
          <w:tcPr>
            <w:tcW w:w="4520" w:type="dxa"/>
            <w:shd w:val="clear" w:color="auto" w:fill="auto"/>
            <w:noWrap/>
            <w:vAlign w:val="center"/>
            <w:hideMark/>
          </w:tcPr>
          <w:p w:rsidR="00866126" w:rsidRPr="00866126" w:rsidRDefault="00866126" w:rsidP="00E27AAC">
            <w:pPr>
              <w:spacing w:line="276" w:lineRule="auto"/>
              <w:rPr>
                <w:color w:val="000000"/>
                <w:szCs w:val="24"/>
              </w:rPr>
            </w:pPr>
            <w:r w:rsidRPr="00866126">
              <w:rPr>
                <w:color w:val="000000"/>
                <w:szCs w:val="24"/>
              </w:rPr>
              <w:t>Car Ownership</w:t>
            </w:r>
          </w:p>
        </w:tc>
        <w:tc>
          <w:tcPr>
            <w:tcW w:w="1500" w:type="dxa"/>
            <w:shd w:val="clear" w:color="auto" w:fill="auto"/>
            <w:noWrap/>
            <w:vAlign w:val="center"/>
            <w:hideMark/>
          </w:tcPr>
          <w:p w:rsidR="00866126" w:rsidRPr="00866126" w:rsidRDefault="00866126" w:rsidP="00E27AAC">
            <w:pPr>
              <w:spacing w:line="276" w:lineRule="auto"/>
              <w:jc w:val="right"/>
              <w:rPr>
                <w:color w:val="000000"/>
                <w:szCs w:val="24"/>
              </w:rPr>
            </w:pPr>
            <w:r w:rsidRPr="00866126">
              <w:rPr>
                <w:color w:val="000000"/>
                <w:szCs w:val="24"/>
              </w:rPr>
              <w:t>90%</w:t>
            </w:r>
          </w:p>
        </w:tc>
        <w:tc>
          <w:tcPr>
            <w:tcW w:w="3660" w:type="dxa"/>
            <w:shd w:val="clear" w:color="auto" w:fill="auto"/>
            <w:noWrap/>
            <w:vAlign w:val="center"/>
            <w:hideMark/>
          </w:tcPr>
          <w:p w:rsidR="00866126" w:rsidRPr="00866126" w:rsidRDefault="00866126" w:rsidP="00E27AAC">
            <w:pPr>
              <w:spacing w:line="276" w:lineRule="auto"/>
              <w:rPr>
                <w:color w:val="000000"/>
                <w:szCs w:val="24"/>
              </w:rPr>
            </w:pPr>
            <w:r w:rsidRPr="00866126">
              <w:rPr>
                <w:color w:val="000000"/>
                <w:szCs w:val="24"/>
              </w:rPr>
              <w:t xml:space="preserve">Most  </w:t>
            </w:r>
            <w:r w:rsidR="003C3C4A">
              <w:rPr>
                <w:color w:val="000000"/>
                <w:szCs w:val="24"/>
              </w:rPr>
              <w:t xml:space="preserve">participants </w:t>
            </w:r>
            <w:r w:rsidRPr="00866126">
              <w:rPr>
                <w:color w:val="000000"/>
                <w:szCs w:val="24"/>
              </w:rPr>
              <w:t>own a car</w:t>
            </w:r>
          </w:p>
        </w:tc>
      </w:tr>
      <w:tr w:rsidR="00866126" w:rsidRPr="00866126" w:rsidTr="00866126">
        <w:trPr>
          <w:trHeight w:val="315"/>
        </w:trPr>
        <w:tc>
          <w:tcPr>
            <w:tcW w:w="4520" w:type="dxa"/>
            <w:shd w:val="clear" w:color="auto" w:fill="auto"/>
            <w:noWrap/>
            <w:vAlign w:val="center"/>
            <w:hideMark/>
          </w:tcPr>
          <w:p w:rsidR="00866126" w:rsidRPr="00866126" w:rsidRDefault="00866126" w:rsidP="00E27AAC">
            <w:pPr>
              <w:spacing w:line="276" w:lineRule="auto"/>
              <w:rPr>
                <w:color w:val="000000"/>
                <w:szCs w:val="24"/>
              </w:rPr>
            </w:pPr>
            <w:r w:rsidRPr="00866126">
              <w:rPr>
                <w:color w:val="000000"/>
                <w:szCs w:val="24"/>
              </w:rPr>
              <w:t xml:space="preserve">Porsche Familiarity </w:t>
            </w:r>
          </w:p>
        </w:tc>
        <w:tc>
          <w:tcPr>
            <w:tcW w:w="1500" w:type="dxa"/>
            <w:shd w:val="clear" w:color="auto" w:fill="auto"/>
            <w:noWrap/>
            <w:vAlign w:val="center"/>
            <w:hideMark/>
          </w:tcPr>
          <w:p w:rsidR="00866126" w:rsidRPr="00866126" w:rsidRDefault="00866126" w:rsidP="00E27AAC">
            <w:pPr>
              <w:spacing w:line="276" w:lineRule="auto"/>
              <w:jc w:val="right"/>
              <w:rPr>
                <w:color w:val="000000"/>
                <w:szCs w:val="24"/>
              </w:rPr>
            </w:pPr>
            <w:r w:rsidRPr="00866126">
              <w:rPr>
                <w:color w:val="000000"/>
                <w:szCs w:val="24"/>
              </w:rPr>
              <w:t>26%</w:t>
            </w:r>
          </w:p>
        </w:tc>
        <w:tc>
          <w:tcPr>
            <w:tcW w:w="3660" w:type="dxa"/>
            <w:shd w:val="clear" w:color="auto" w:fill="auto"/>
            <w:noWrap/>
            <w:vAlign w:val="center"/>
            <w:hideMark/>
          </w:tcPr>
          <w:p w:rsidR="00866126" w:rsidRPr="00866126" w:rsidRDefault="00866126" w:rsidP="00E27AAC">
            <w:pPr>
              <w:spacing w:line="276" w:lineRule="auto"/>
              <w:rPr>
                <w:color w:val="000000"/>
                <w:szCs w:val="24"/>
              </w:rPr>
            </w:pPr>
            <w:r w:rsidRPr="00866126">
              <w:rPr>
                <w:color w:val="000000"/>
                <w:szCs w:val="24"/>
              </w:rPr>
              <w:t>Familiarity is moderate</w:t>
            </w:r>
          </w:p>
        </w:tc>
      </w:tr>
      <w:tr w:rsidR="00866126" w:rsidRPr="00866126" w:rsidTr="00866126">
        <w:trPr>
          <w:trHeight w:val="315"/>
        </w:trPr>
        <w:tc>
          <w:tcPr>
            <w:tcW w:w="4520" w:type="dxa"/>
            <w:shd w:val="clear" w:color="auto" w:fill="auto"/>
            <w:noWrap/>
            <w:vAlign w:val="center"/>
            <w:hideMark/>
          </w:tcPr>
          <w:p w:rsidR="00866126" w:rsidRPr="00866126" w:rsidRDefault="00866126" w:rsidP="00E27AAC">
            <w:pPr>
              <w:spacing w:line="276" w:lineRule="auto"/>
              <w:rPr>
                <w:color w:val="000000"/>
                <w:szCs w:val="24"/>
              </w:rPr>
            </w:pPr>
            <w:r w:rsidRPr="00866126">
              <w:rPr>
                <w:color w:val="000000"/>
                <w:szCs w:val="24"/>
              </w:rPr>
              <w:t xml:space="preserve">Prospect  of Buying a Porsche </w:t>
            </w:r>
          </w:p>
        </w:tc>
        <w:tc>
          <w:tcPr>
            <w:tcW w:w="1500" w:type="dxa"/>
            <w:shd w:val="clear" w:color="auto" w:fill="auto"/>
            <w:noWrap/>
            <w:vAlign w:val="center"/>
            <w:hideMark/>
          </w:tcPr>
          <w:p w:rsidR="00866126" w:rsidRPr="00866126" w:rsidRDefault="00866126" w:rsidP="00E27AAC">
            <w:pPr>
              <w:spacing w:line="276" w:lineRule="auto"/>
              <w:jc w:val="right"/>
              <w:rPr>
                <w:color w:val="000000"/>
                <w:szCs w:val="24"/>
              </w:rPr>
            </w:pPr>
            <w:r w:rsidRPr="00866126">
              <w:rPr>
                <w:color w:val="000000"/>
                <w:szCs w:val="24"/>
              </w:rPr>
              <w:t>36%</w:t>
            </w:r>
          </w:p>
        </w:tc>
        <w:tc>
          <w:tcPr>
            <w:tcW w:w="3660" w:type="dxa"/>
            <w:shd w:val="clear" w:color="auto" w:fill="auto"/>
            <w:noWrap/>
            <w:vAlign w:val="center"/>
            <w:hideMark/>
          </w:tcPr>
          <w:p w:rsidR="00866126" w:rsidRPr="00866126" w:rsidRDefault="00866126" w:rsidP="00E27AAC">
            <w:pPr>
              <w:spacing w:line="276" w:lineRule="auto"/>
              <w:rPr>
                <w:color w:val="000000"/>
                <w:szCs w:val="24"/>
              </w:rPr>
            </w:pPr>
            <w:r w:rsidRPr="00866126">
              <w:rPr>
                <w:color w:val="000000"/>
                <w:szCs w:val="24"/>
              </w:rPr>
              <w:t>Majority will buy</w:t>
            </w:r>
          </w:p>
        </w:tc>
      </w:tr>
      <w:tr w:rsidR="00866126" w:rsidRPr="00866126" w:rsidTr="00866126">
        <w:trPr>
          <w:trHeight w:val="315"/>
        </w:trPr>
        <w:tc>
          <w:tcPr>
            <w:tcW w:w="4520" w:type="dxa"/>
            <w:shd w:val="clear" w:color="auto" w:fill="auto"/>
            <w:noWrap/>
            <w:vAlign w:val="center"/>
            <w:hideMark/>
          </w:tcPr>
          <w:p w:rsidR="00866126" w:rsidRPr="00866126" w:rsidRDefault="00866126" w:rsidP="00E27AAC">
            <w:pPr>
              <w:spacing w:line="276" w:lineRule="auto"/>
              <w:rPr>
                <w:color w:val="000000"/>
                <w:szCs w:val="24"/>
              </w:rPr>
            </w:pPr>
            <w:r w:rsidRPr="00866126">
              <w:rPr>
                <w:color w:val="000000"/>
                <w:szCs w:val="24"/>
              </w:rPr>
              <w:t xml:space="preserve">Heard of a </w:t>
            </w:r>
            <w:proofErr w:type="spellStart"/>
            <w:r w:rsidRPr="00866126">
              <w:rPr>
                <w:color w:val="000000"/>
                <w:szCs w:val="24"/>
              </w:rPr>
              <w:t>T</w:t>
            </w:r>
            <w:r w:rsidR="00967181">
              <w:rPr>
                <w:color w:val="000000"/>
                <w:szCs w:val="24"/>
              </w:rPr>
              <w:t>a</w:t>
            </w:r>
            <w:r w:rsidRPr="00866126">
              <w:rPr>
                <w:color w:val="000000"/>
                <w:szCs w:val="24"/>
              </w:rPr>
              <w:t>ycan</w:t>
            </w:r>
            <w:proofErr w:type="spellEnd"/>
          </w:p>
        </w:tc>
        <w:tc>
          <w:tcPr>
            <w:tcW w:w="1500" w:type="dxa"/>
            <w:shd w:val="clear" w:color="auto" w:fill="auto"/>
            <w:noWrap/>
            <w:vAlign w:val="center"/>
            <w:hideMark/>
          </w:tcPr>
          <w:p w:rsidR="00866126" w:rsidRPr="00866126" w:rsidRDefault="00866126" w:rsidP="00E27AAC">
            <w:pPr>
              <w:spacing w:line="276" w:lineRule="auto"/>
              <w:jc w:val="right"/>
              <w:rPr>
                <w:color w:val="000000"/>
                <w:szCs w:val="24"/>
              </w:rPr>
            </w:pPr>
            <w:r w:rsidRPr="00866126">
              <w:rPr>
                <w:color w:val="000000"/>
                <w:szCs w:val="24"/>
              </w:rPr>
              <w:t>37%</w:t>
            </w:r>
          </w:p>
        </w:tc>
        <w:tc>
          <w:tcPr>
            <w:tcW w:w="3660" w:type="dxa"/>
            <w:shd w:val="clear" w:color="auto" w:fill="auto"/>
            <w:noWrap/>
            <w:vAlign w:val="center"/>
            <w:hideMark/>
          </w:tcPr>
          <w:p w:rsidR="00866126" w:rsidRPr="00866126" w:rsidRDefault="00866126" w:rsidP="00E27AAC">
            <w:pPr>
              <w:spacing w:line="276" w:lineRule="auto"/>
              <w:rPr>
                <w:color w:val="000000"/>
                <w:szCs w:val="24"/>
              </w:rPr>
            </w:pPr>
            <w:r w:rsidRPr="00866126">
              <w:rPr>
                <w:color w:val="000000"/>
                <w:szCs w:val="24"/>
              </w:rPr>
              <w:t>Majority have heard</w:t>
            </w:r>
          </w:p>
        </w:tc>
      </w:tr>
      <w:tr w:rsidR="00866126" w:rsidRPr="00866126" w:rsidTr="00866126">
        <w:trPr>
          <w:trHeight w:val="315"/>
        </w:trPr>
        <w:tc>
          <w:tcPr>
            <w:tcW w:w="4520" w:type="dxa"/>
            <w:shd w:val="clear" w:color="auto" w:fill="auto"/>
            <w:noWrap/>
            <w:vAlign w:val="center"/>
            <w:hideMark/>
          </w:tcPr>
          <w:p w:rsidR="00866126" w:rsidRPr="00866126" w:rsidRDefault="00866126" w:rsidP="00E27AAC">
            <w:pPr>
              <w:spacing w:line="276" w:lineRule="auto"/>
              <w:rPr>
                <w:color w:val="000000"/>
                <w:szCs w:val="24"/>
              </w:rPr>
            </w:pPr>
            <w:r w:rsidRPr="00866126">
              <w:rPr>
                <w:color w:val="000000"/>
                <w:szCs w:val="24"/>
              </w:rPr>
              <w:t xml:space="preserve">Familiarity with Electric car </w:t>
            </w:r>
          </w:p>
        </w:tc>
        <w:tc>
          <w:tcPr>
            <w:tcW w:w="1500" w:type="dxa"/>
            <w:shd w:val="clear" w:color="auto" w:fill="auto"/>
            <w:noWrap/>
            <w:vAlign w:val="center"/>
            <w:hideMark/>
          </w:tcPr>
          <w:p w:rsidR="00866126" w:rsidRPr="00866126" w:rsidRDefault="00866126" w:rsidP="00E27AAC">
            <w:pPr>
              <w:spacing w:line="276" w:lineRule="auto"/>
              <w:jc w:val="right"/>
              <w:rPr>
                <w:color w:val="000000"/>
                <w:szCs w:val="24"/>
              </w:rPr>
            </w:pPr>
            <w:r w:rsidRPr="00866126">
              <w:rPr>
                <w:color w:val="000000"/>
                <w:szCs w:val="24"/>
              </w:rPr>
              <w:t>27%</w:t>
            </w:r>
          </w:p>
        </w:tc>
        <w:tc>
          <w:tcPr>
            <w:tcW w:w="3660" w:type="dxa"/>
            <w:shd w:val="clear" w:color="auto" w:fill="auto"/>
            <w:noWrap/>
            <w:vAlign w:val="center"/>
            <w:hideMark/>
          </w:tcPr>
          <w:p w:rsidR="00866126" w:rsidRPr="00866126" w:rsidRDefault="00967181" w:rsidP="00E27AAC">
            <w:pPr>
              <w:spacing w:line="276" w:lineRule="auto"/>
              <w:rPr>
                <w:color w:val="000000"/>
                <w:szCs w:val="24"/>
              </w:rPr>
            </w:pPr>
            <w:r>
              <w:rPr>
                <w:color w:val="000000"/>
                <w:szCs w:val="24"/>
              </w:rPr>
              <w:t>M</w:t>
            </w:r>
            <w:r w:rsidRPr="00866126">
              <w:rPr>
                <w:color w:val="000000"/>
                <w:szCs w:val="24"/>
              </w:rPr>
              <w:t>ajority</w:t>
            </w:r>
            <w:r w:rsidR="00866126" w:rsidRPr="00866126">
              <w:rPr>
                <w:color w:val="000000"/>
                <w:szCs w:val="24"/>
              </w:rPr>
              <w:t xml:space="preserve"> are familiar</w:t>
            </w:r>
          </w:p>
        </w:tc>
      </w:tr>
      <w:tr w:rsidR="00866126" w:rsidRPr="00866126" w:rsidTr="00866126">
        <w:trPr>
          <w:trHeight w:val="315"/>
        </w:trPr>
        <w:tc>
          <w:tcPr>
            <w:tcW w:w="4520" w:type="dxa"/>
            <w:shd w:val="clear" w:color="auto" w:fill="auto"/>
            <w:noWrap/>
            <w:vAlign w:val="center"/>
            <w:hideMark/>
          </w:tcPr>
          <w:p w:rsidR="00866126" w:rsidRPr="00866126" w:rsidRDefault="00866126" w:rsidP="00E27AAC">
            <w:pPr>
              <w:spacing w:line="276" w:lineRule="auto"/>
              <w:rPr>
                <w:color w:val="000000"/>
                <w:szCs w:val="24"/>
              </w:rPr>
            </w:pPr>
            <w:r w:rsidRPr="00866126">
              <w:rPr>
                <w:color w:val="000000"/>
                <w:szCs w:val="24"/>
              </w:rPr>
              <w:t xml:space="preserve">Prospect  of Buying Electric car </w:t>
            </w:r>
          </w:p>
        </w:tc>
        <w:tc>
          <w:tcPr>
            <w:tcW w:w="1500" w:type="dxa"/>
            <w:shd w:val="clear" w:color="auto" w:fill="auto"/>
            <w:noWrap/>
            <w:vAlign w:val="center"/>
            <w:hideMark/>
          </w:tcPr>
          <w:p w:rsidR="00866126" w:rsidRPr="00866126" w:rsidRDefault="00866126" w:rsidP="00E27AAC">
            <w:pPr>
              <w:spacing w:line="276" w:lineRule="auto"/>
              <w:jc w:val="right"/>
              <w:rPr>
                <w:color w:val="000000"/>
                <w:szCs w:val="24"/>
              </w:rPr>
            </w:pPr>
            <w:r w:rsidRPr="00866126">
              <w:rPr>
                <w:color w:val="000000"/>
                <w:szCs w:val="24"/>
              </w:rPr>
              <w:t>44%</w:t>
            </w:r>
          </w:p>
        </w:tc>
        <w:tc>
          <w:tcPr>
            <w:tcW w:w="3660" w:type="dxa"/>
            <w:shd w:val="clear" w:color="auto" w:fill="auto"/>
            <w:noWrap/>
            <w:vAlign w:val="center"/>
            <w:hideMark/>
          </w:tcPr>
          <w:p w:rsidR="00866126" w:rsidRPr="00866126" w:rsidRDefault="00866126" w:rsidP="00E27AAC">
            <w:pPr>
              <w:spacing w:line="276" w:lineRule="auto"/>
              <w:rPr>
                <w:color w:val="000000"/>
                <w:szCs w:val="24"/>
              </w:rPr>
            </w:pPr>
            <w:r w:rsidRPr="00866126">
              <w:rPr>
                <w:color w:val="000000"/>
                <w:szCs w:val="24"/>
              </w:rPr>
              <w:t>Majority will buy</w:t>
            </w:r>
          </w:p>
        </w:tc>
      </w:tr>
      <w:tr w:rsidR="00866126" w:rsidRPr="00866126" w:rsidTr="00866126">
        <w:trPr>
          <w:trHeight w:val="315"/>
        </w:trPr>
        <w:tc>
          <w:tcPr>
            <w:tcW w:w="4520" w:type="dxa"/>
            <w:shd w:val="clear" w:color="auto" w:fill="auto"/>
            <w:noWrap/>
            <w:vAlign w:val="center"/>
            <w:hideMark/>
          </w:tcPr>
          <w:p w:rsidR="00866126" w:rsidRPr="00866126" w:rsidRDefault="00866126" w:rsidP="00E27AAC">
            <w:pPr>
              <w:spacing w:line="276" w:lineRule="auto"/>
              <w:rPr>
                <w:color w:val="000000"/>
                <w:szCs w:val="24"/>
              </w:rPr>
            </w:pPr>
            <w:r w:rsidRPr="00866126">
              <w:rPr>
                <w:color w:val="000000"/>
                <w:szCs w:val="24"/>
              </w:rPr>
              <w:t xml:space="preserve">Price Consideration </w:t>
            </w:r>
          </w:p>
        </w:tc>
        <w:tc>
          <w:tcPr>
            <w:tcW w:w="1500" w:type="dxa"/>
            <w:shd w:val="clear" w:color="auto" w:fill="auto"/>
            <w:noWrap/>
            <w:vAlign w:val="center"/>
            <w:hideMark/>
          </w:tcPr>
          <w:p w:rsidR="00866126" w:rsidRPr="00866126" w:rsidRDefault="00866126" w:rsidP="00E27AAC">
            <w:pPr>
              <w:spacing w:line="276" w:lineRule="auto"/>
              <w:jc w:val="right"/>
              <w:rPr>
                <w:color w:val="000000"/>
                <w:szCs w:val="24"/>
              </w:rPr>
            </w:pPr>
            <w:r w:rsidRPr="00866126">
              <w:rPr>
                <w:color w:val="000000"/>
                <w:szCs w:val="24"/>
              </w:rPr>
              <w:t>40%</w:t>
            </w:r>
          </w:p>
        </w:tc>
        <w:tc>
          <w:tcPr>
            <w:tcW w:w="3660" w:type="dxa"/>
            <w:shd w:val="clear" w:color="auto" w:fill="auto"/>
            <w:noWrap/>
            <w:vAlign w:val="center"/>
            <w:hideMark/>
          </w:tcPr>
          <w:p w:rsidR="00866126" w:rsidRPr="00866126" w:rsidRDefault="00866126" w:rsidP="00E27AAC">
            <w:pPr>
              <w:spacing w:line="276" w:lineRule="auto"/>
              <w:rPr>
                <w:color w:val="000000"/>
                <w:szCs w:val="24"/>
              </w:rPr>
            </w:pPr>
            <w:r w:rsidRPr="00866126">
              <w:rPr>
                <w:color w:val="000000"/>
                <w:szCs w:val="24"/>
              </w:rPr>
              <w:t>Price is a major factor</w:t>
            </w:r>
          </w:p>
        </w:tc>
      </w:tr>
      <w:tr w:rsidR="00866126" w:rsidRPr="00866126" w:rsidTr="00866126">
        <w:trPr>
          <w:trHeight w:val="315"/>
        </w:trPr>
        <w:tc>
          <w:tcPr>
            <w:tcW w:w="4520" w:type="dxa"/>
            <w:shd w:val="clear" w:color="auto" w:fill="auto"/>
            <w:noWrap/>
            <w:vAlign w:val="center"/>
            <w:hideMark/>
          </w:tcPr>
          <w:p w:rsidR="00866126" w:rsidRPr="00866126" w:rsidRDefault="007E1A0D" w:rsidP="00E27AAC">
            <w:pPr>
              <w:spacing w:line="276" w:lineRule="auto"/>
              <w:rPr>
                <w:color w:val="000000"/>
                <w:szCs w:val="24"/>
              </w:rPr>
            </w:pPr>
            <w:r>
              <w:t xml:space="preserve">aesthetic </w:t>
            </w:r>
            <w:r w:rsidR="00866126" w:rsidRPr="00866126">
              <w:rPr>
                <w:color w:val="000000"/>
                <w:szCs w:val="24"/>
              </w:rPr>
              <w:t xml:space="preserve">Design consideration </w:t>
            </w:r>
          </w:p>
        </w:tc>
        <w:tc>
          <w:tcPr>
            <w:tcW w:w="1500" w:type="dxa"/>
            <w:shd w:val="clear" w:color="auto" w:fill="auto"/>
            <w:noWrap/>
            <w:vAlign w:val="center"/>
            <w:hideMark/>
          </w:tcPr>
          <w:p w:rsidR="00866126" w:rsidRPr="00866126" w:rsidRDefault="00866126" w:rsidP="00E27AAC">
            <w:pPr>
              <w:spacing w:line="276" w:lineRule="auto"/>
              <w:jc w:val="right"/>
              <w:rPr>
                <w:color w:val="000000"/>
                <w:szCs w:val="24"/>
              </w:rPr>
            </w:pPr>
            <w:r w:rsidRPr="00866126">
              <w:rPr>
                <w:color w:val="000000"/>
                <w:szCs w:val="24"/>
              </w:rPr>
              <w:t>22%</w:t>
            </w:r>
          </w:p>
        </w:tc>
        <w:tc>
          <w:tcPr>
            <w:tcW w:w="3660" w:type="dxa"/>
            <w:shd w:val="clear" w:color="auto" w:fill="auto"/>
            <w:noWrap/>
            <w:vAlign w:val="center"/>
            <w:hideMark/>
          </w:tcPr>
          <w:p w:rsidR="00866126" w:rsidRPr="00866126" w:rsidRDefault="00967181" w:rsidP="00E27AAC">
            <w:pPr>
              <w:spacing w:line="276" w:lineRule="auto"/>
              <w:rPr>
                <w:color w:val="000000"/>
                <w:szCs w:val="24"/>
              </w:rPr>
            </w:pPr>
            <w:r w:rsidRPr="00866126">
              <w:rPr>
                <w:color w:val="000000"/>
                <w:szCs w:val="24"/>
              </w:rPr>
              <w:t>Aesthetic</w:t>
            </w:r>
            <w:r w:rsidR="00866126" w:rsidRPr="00866126">
              <w:rPr>
                <w:color w:val="000000"/>
                <w:szCs w:val="24"/>
              </w:rPr>
              <w:t xml:space="preserve"> is another factor</w:t>
            </w:r>
          </w:p>
        </w:tc>
      </w:tr>
      <w:tr w:rsidR="00866126" w:rsidRPr="00866126" w:rsidTr="00866126">
        <w:trPr>
          <w:trHeight w:val="315"/>
        </w:trPr>
        <w:tc>
          <w:tcPr>
            <w:tcW w:w="4520" w:type="dxa"/>
            <w:shd w:val="clear" w:color="auto" w:fill="auto"/>
            <w:noWrap/>
            <w:vAlign w:val="center"/>
            <w:hideMark/>
          </w:tcPr>
          <w:p w:rsidR="00866126" w:rsidRPr="00866126" w:rsidRDefault="00866126" w:rsidP="00E27AAC">
            <w:pPr>
              <w:spacing w:line="276" w:lineRule="auto"/>
              <w:rPr>
                <w:color w:val="000000"/>
                <w:szCs w:val="24"/>
              </w:rPr>
            </w:pPr>
            <w:r w:rsidRPr="00866126">
              <w:rPr>
                <w:color w:val="000000"/>
                <w:szCs w:val="24"/>
              </w:rPr>
              <w:t xml:space="preserve">Car Performance Consideration </w:t>
            </w:r>
          </w:p>
        </w:tc>
        <w:tc>
          <w:tcPr>
            <w:tcW w:w="1500" w:type="dxa"/>
            <w:shd w:val="clear" w:color="auto" w:fill="auto"/>
            <w:noWrap/>
            <w:vAlign w:val="center"/>
            <w:hideMark/>
          </w:tcPr>
          <w:p w:rsidR="00866126" w:rsidRPr="00866126" w:rsidRDefault="00866126" w:rsidP="00E27AAC">
            <w:pPr>
              <w:spacing w:line="276" w:lineRule="auto"/>
              <w:jc w:val="right"/>
              <w:rPr>
                <w:color w:val="000000"/>
                <w:szCs w:val="24"/>
              </w:rPr>
            </w:pPr>
            <w:r w:rsidRPr="00866126">
              <w:rPr>
                <w:color w:val="000000"/>
                <w:szCs w:val="24"/>
              </w:rPr>
              <w:t>29%</w:t>
            </w:r>
          </w:p>
        </w:tc>
        <w:tc>
          <w:tcPr>
            <w:tcW w:w="3660" w:type="dxa"/>
            <w:shd w:val="clear" w:color="auto" w:fill="auto"/>
            <w:noWrap/>
            <w:vAlign w:val="center"/>
            <w:hideMark/>
          </w:tcPr>
          <w:p w:rsidR="00866126" w:rsidRPr="00866126" w:rsidRDefault="00967181" w:rsidP="00E27AAC">
            <w:pPr>
              <w:spacing w:line="276" w:lineRule="auto"/>
              <w:rPr>
                <w:color w:val="000000"/>
                <w:szCs w:val="24"/>
              </w:rPr>
            </w:pPr>
            <w:r w:rsidRPr="00866126">
              <w:rPr>
                <w:color w:val="000000"/>
                <w:szCs w:val="24"/>
              </w:rPr>
              <w:t>Convenience</w:t>
            </w:r>
            <w:r w:rsidR="00866126" w:rsidRPr="00866126">
              <w:rPr>
                <w:color w:val="000000"/>
                <w:szCs w:val="24"/>
              </w:rPr>
              <w:t xml:space="preserve"> is another factor</w:t>
            </w:r>
          </w:p>
        </w:tc>
      </w:tr>
      <w:tr w:rsidR="00866126" w:rsidRPr="00866126" w:rsidTr="00866126">
        <w:trPr>
          <w:trHeight w:val="285"/>
        </w:trPr>
        <w:tc>
          <w:tcPr>
            <w:tcW w:w="4520" w:type="dxa"/>
            <w:shd w:val="clear" w:color="auto" w:fill="auto"/>
            <w:noWrap/>
            <w:vAlign w:val="center"/>
            <w:hideMark/>
          </w:tcPr>
          <w:p w:rsidR="00866126" w:rsidRPr="00866126" w:rsidRDefault="00967181" w:rsidP="00E27AAC">
            <w:pPr>
              <w:spacing w:line="276" w:lineRule="auto"/>
              <w:rPr>
                <w:color w:val="000000"/>
                <w:szCs w:val="24"/>
              </w:rPr>
            </w:pPr>
            <w:r w:rsidRPr="00866126">
              <w:rPr>
                <w:color w:val="000000"/>
                <w:szCs w:val="24"/>
              </w:rPr>
              <w:t>Convenience</w:t>
            </w:r>
            <w:r w:rsidR="00866126" w:rsidRPr="00866126">
              <w:rPr>
                <w:color w:val="000000"/>
                <w:szCs w:val="24"/>
              </w:rPr>
              <w:t xml:space="preserve"> Consideration </w:t>
            </w:r>
          </w:p>
        </w:tc>
        <w:tc>
          <w:tcPr>
            <w:tcW w:w="1500" w:type="dxa"/>
            <w:shd w:val="clear" w:color="auto" w:fill="auto"/>
            <w:noWrap/>
            <w:vAlign w:val="center"/>
            <w:hideMark/>
          </w:tcPr>
          <w:p w:rsidR="00866126" w:rsidRPr="00866126" w:rsidRDefault="00866126" w:rsidP="00E27AAC">
            <w:pPr>
              <w:spacing w:line="276" w:lineRule="auto"/>
              <w:jc w:val="right"/>
              <w:rPr>
                <w:color w:val="000000"/>
                <w:szCs w:val="24"/>
              </w:rPr>
            </w:pPr>
            <w:r w:rsidRPr="00866126">
              <w:rPr>
                <w:color w:val="000000"/>
                <w:szCs w:val="24"/>
              </w:rPr>
              <w:t>32%</w:t>
            </w:r>
          </w:p>
        </w:tc>
        <w:tc>
          <w:tcPr>
            <w:tcW w:w="3660" w:type="dxa"/>
            <w:shd w:val="clear" w:color="auto" w:fill="auto"/>
            <w:noWrap/>
            <w:vAlign w:val="center"/>
            <w:hideMark/>
          </w:tcPr>
          <w:p w:rsidR="00866126" w:rsidRPr="00866126" w:rsidRDefault="00866126" w:rsidP="00E27AAC">
            <w:pPr>
              <w:spacing w:line="276" w:lineRule="auto"/>
              <w:rPr>
                <w:color w:val="000000"/>
                <w:szCs w:val="24"/>
              </w:rPr>
            </w:pPr>
            <w:r w:rsidRPr="00866126">
              <w:rPr>
                <w:color w:val="000000"/>
                <w:szCs w:val="24"/>
              </w:rPr>
              <w:t>Performance is another factor</w:t>
            </w:r>
          </w:p>
        </w:tc>
      </w:tr>
      <w:tr w:rsidR="00866126" w:rsidRPr="00866126" w:rsidTr="00866126">
        <w:trPr>
          <w:trHeight w:val="315"/>
        </w:trPr>
        <w:tc>
          <w:tcPr>
            <w:tcW w:w="4520" w:type="dxa"/>
            <w:shd w:val="clear" w:color="auto" w:fill="auto"/>
            <w:noWrap/>
            <w:vAlign w:val="center"/>
            <w:hideMark/>
          </w:tcPr>
          <w:p w:rsidR="00866126" w:rsidRPr="00866126" w:rsidRDefault="00866126" w:rsidP="00E27AAC">
            <w:pPr>
              <w:spacing w:line="276" w:lineRule="auto"/>
              <w:rPr>
                <w:color w:val="000000"/>
                <w:szCs w:val="24"/>
              </w:rPr>
            </w:pPr>
            <w:r w:rsidRPr="00866126">
              <w:rPr>
                <w:color w:val="000000"/>
                <w:szCs w:val="24"/>
              </w:rPr>
              <w:t xml:space="preserve">Environmental impact consideration </w:t>
            </w:r>
          </w:p>
        </w:tc>
        <w:tc>
          <w:tcPr>
            <w:tcW w:w="1500" w:type="dxa"/>
            <w:shd w:val="clear" w:color="auto" w:fill="auto"/>
            <w:noWrap/>
            <w:vAlign w:val="center"/>
            <w:hideMark/>
          </w:tcPr>
          <w:p w:rsidR="00866126" w:rsidRPr="00866126" w:rsidRDefault="00866126" w:rsidP="00E27AAC">
            <w:pPr>
              <w:spacing w:line="276" w:lineRule="auto"/>
              <w:jc w:val="right"/>
              <w:rPr>
                <w:color w:val="000000"/>
                <w:szCs w:val="24"/>
              </w:rPr>
            </w:pPr>
            <w:r w:rsidRPr="00866126">
              <w:rPr>
                <w:color w:val="000000"/>
                <w:szCs w:val="24"/>
              </w:rPr>
              <w:t>30%</w:t>
            </w:r>
          </w:p>
        </w:tc>
        <w:tc>
          <w:tcPr>
            <w:tcW w:w="3660" w:type="dxa"/>
            <w:shd w:val="clear" w:color="auto" w:fill="auto"/>
            <w:noWrap/>
            <w:vAlign w:val="center"/>
            <w:hideMark/>
          </w:tcPr>
          <w:p w:rsidR="00866126" w:rsidRPr="00866126" w:rsidRDefault="00866126" w:rsidP="00E27AAC">
            <w:pPr>
              <w:spacing w:line="276" w:lineRule="auto"/>
              <w:rPr>
                <w:color w:val="000000"/>
                <w:szCs w:val="24"/>
              </w:rPr>
            </w:pPr>
            <w:r w:rsidRPr="00866126">
              <w:rPr>
                <w:color w:val="000000"/>
                <w:szCs w:val="24"/>
              </w:rPr>
              <w:t>Is a least factor/ not important</w:t>
            </w:r>
          </w:p>
        </w:tc>
      </w:tr>
      <w:tr w:rsidR="00866126" w:rsidRPr="00866126" w:rsidTr="00866126">
        <w:trPr>
          <w:trHeight w:val="315"/>
        </w:trPr>
        <w:tc>
          <w:tcPr>
            <w:tcW w:w="4520" w:type="dxa"/>
            <w:shd w:val="clear" w:color="auto" w:fill="auto"/>
            <w:noWrap/>
            <w:vAlign w:val="center"/>
            <w:hideMark/>
          </w:tcPr>
          <w:p w:rsidR="00866126" w:rsidRPr="00866126" w:rsidRDefault="00866126" w:rsidP="00E27AAC">
            <w:pPr>
              <w:spacing w:line="276" w:lineRule="auto"/>
              <w:rPr>
                <w:color w:val="000000"/>
                <w:szCs w:val="24"/>
              </w:rPr>
            </w:pPr>
            <w:r w:rsidRPr="00866126">
              <w:rPr>
                <w:color w:val="000000"/>
                <w:szCs w:val="24"/>
              </w:rPr>
              <w:t xml:space="preserve">Driving technology Consideration </w:t>
            </w:r>
          </w:p>
        </w:tc>
        <w:tc>
          <w:tcPr>
            <w:tcW w:w="1500" w:type="dxa"/>
            <w:shd w:val="clear" w:color="auto" w:fill="auto"/>
            <w:noWrap/>
            <w:vAlign w:val="center"/>
            <w:hideMark/>
          </w:tcPr>
          <w:p w:rsidR="00866126" w:rsidRPr="00866126" w:rsidRDefault="00866126" w:rsidP="00E27AAC">
            <w:pPr>
              <w:spacing w:line="276" w:lineRule="auto"/>
              <w:jc w:val="right"/>
              <w:rPr>
                <w:color w:val="000000"/>
                <w:szCs w:val="24"/>
              </w:rPr>
            </w:pPr>
            <w:r w:rsidRPr="00866126">
              <w:rPr>
                <w:color w:val="000000"/>
                <w:szCs w:val="24"/>
              </w:rPr>
              <w:t>33%</w:t>
            </w:r>
          </w:p>
        </w:tc>
        <w:tc>
          <w:tcPr>
            <w:tcW w:w="3660" w:type="dxa"/>
            <w:shd w:val="clear" w:color="auto" w:fill="auto"/>
            <w:noWrap/>
            <w:vAlign w:val="center"/>
            <w:hideMark/>
          </w:tcPr>
          <w:p w:rsidR="00866126" w:rsidRPr="00866126" w:rsidRDefault="00866126" w:rsidP="00E27AAC">
            <w:pPr>
              <w:spacing w:line="276" w:lineRule="auto"/>
              <w:rPr>
                <w:color w:val="000000"/>
                <w:szCs w:val="24"/>
              </w:rPr>
            </w:pPr>
            <w:r w:rsidRPr="00866126">
              <w:rPr>
                <w:color w:val="000000"/>
                <w:szCs w:val="24"/>
              </w:rPr>
              <w:t>Is a least factor /not important</w:t>
            </w:r>
          </w:p>
        </w:tc>
      </w:tr>
      <w:tr w:rsidR="00866126" w:rsidRPr="00866126" w:rsidTr="00866126">
        <w:trPr>
          <w:trHeight w:val="315"/>
        </w:trPr>
        <w:tc>
          <w:tcPr>
            <w:tcW w:w="4520" w:type="dxa"/>
            <w:shd w:val="clear" w:color="auto" w:fill="auto"/>
            <w:noWrap/>
            <w:vAlign w:val="center"/>
            <w:hideMark/>
          </w:tcPr>
          <w:p w:rsidR="00866126" w:rsidRPr="00866126" w:rsidRDefault="00866126" w:rsidP="00E27AAC">
            <w:pPr>
              <w:spacing w:line="276" w:lineRule="auto"/>
              <w:rPr>
                <w:color w:val="000000"/>
                <w:szCs w:val="24"/>
              </w:rPr>
            </w:pPr>
            <w:r w:rsidRPr="00866126">
              <w:rPr>
                <w:color w:val="000000"/>
                <w:szCs w:val="24"/>
              </w:rPr>
              <w:t xml:space="preserve">Porsche Perception   </w:t>
            </w:r>
          </w:p>
        </w:tc>
        <w:tc>
          <w:tcPr>
            <w:tcW w:w="1500" w:type="dxa"/>
            <w:shd w:val="clear" w:color="auto" w:fill="auto"/>
            <w:noWrap/>
            <w:vAlign w:val="center"/>
            <w:hideMark/>
          </w:tcPr>
          <w:p w:rsidR="00866126" w:rsidRPr="00866126" w:rsidRDefault="00866126" w:rsidP="00E27AAC">
            <w:pPr>
              <w:spacing w:line="276" w:lineRule="auto"/>
              <w:jc w:val="right"/>
              <w:rPr>
                <w:color w:val="000000"/>
                <w:szCs w:val="24"/>
              </w:rPr>
            </w:pPr>
            <w:r w:rsidRPr="00866126">
              <w:rPr>
                <w:color w:val="000000"/>
                <w:szCs w:val="24"/>
              </w:rPr>
              <w:t>45%</w:t>
            </w:r>
          </w:p>
        </w:tc>
        <w:tc>
          <w:tcPr>
            <w:tcW w:w="3660" w:type="dxa"/>
            <w:shd w:val="clear" w:color="auto" w:fill="auto"/>
            <w:noWrap/>
            <w:vAlign w:val="center"/>
            <w:hideMark/>
          </w:tcPr>
          <w:p w:rsidR="00866126" w:rsidRPr="00866126" w:rsidRDefault="00866126" w:rsidP="00E27AAC">
            <w:pPr>
              <w:spacing w:line="276" w:lineRule="auto"/>
              <w:rPr>
                <w:color w:val="000000"/>
                <w:szCs w:val="24"/>
              </w:rPr>
            </w:pPr>
            <w:r w:rsidRPr="00866126">
              <w:rPr>
                <w:color w:val="000000"/>
                <w:szCs w:val="24"/>
              </w:rPr>
              <w:t>Majority consider it modern</w:t>
            </w:r>
          </w:p>
        </w:tc>
      </w:tr>
      <w:tr w:rsidR="00866126" w:rsidRPr="00866126" w:rsidTr="00866126">
        <w:trPr>
          <w:trHeight w:val="315"/>
        </w:trPr>
        <w:tc>
          <w:tcPr>
            <w:tcW w:w="4520" w:type="dxa"/>
            <w:shd w:val="clear" w:color="auto" w:fill="auto"/>
            <w:noWrap/>
            <w:vAlign w:val="center"/>
            <w:hideMark/>
          </w:tcPr>
          <w:p w:rsidR="00866126" w:rsidRPr="00866126" w:rsidRDefault="00866126" w:rsidP="00E27AAC">
            <w:pPr>
              <w:spacing w:line="276" w:lineRule="auto"/>
              <w:rPr>
                <w:color w:val="000000"/>
                <w:szCs w:val="24"/>
              </w:rPr>
            </w:pPr>
            <w:r w:rsidRPr="00866126">
              <w:rPr>
                <w:color w:val="000000"/>
                <w:szCs w:val="24"/>
              </w:rPr>
              <w:t xml:space="preserve">Porsche Perception   </w:t>
            </w:r>
          </w:p>
        </w:tc>
        <w:tc>
          <w:tcPr>
            <w:tcW w:w="1500" w:type="dxa"/>
            <w:shd w:val="clear" w:color="auto" w:fill="auto"/>
            <w:noWrap/>
            <w:vAlign w:val="center"/>
            <w:hideMark/>
          </w:tcPr>
          <w:p w:rsidR="00866126" w:rsidRPr="00866126" w:rsidRDefault="00866126" w:rsidP="00E27AAC">
            <w:pPr>
              <w:spacing w:line="276" w:lineRule="auto"/>
              <w:jc w:val="right"/>
              <w:rPr>
                <w:color w:val="000000"/>
                <w:szCs w:val="24"/>
              </w:rPr>
            </w:pPr>
            <w:r w:rsidRPr="00866126">
              <w:rPr>
                <w:color w:val="000000"/>
                <w:szCs w:val="24"/>
              </w:rPr>
              <w:t>45%</w:t>
            </w:r>
          </w:p>
        </w:tc>
        <w:tc>
          <w:tcPr>
            <w:tcW w:w="3660" w:type="dxa"/>
            <w:shd w:val="clear" w:color="auto" w:fill="auto"/>
            <w:noWrap/>
            <w:vAlign w:val="center"/>
            <w:hideMark/>
          </w:tcPr>
          <w:p w:rsidR="00866126" w:rsidRPr="00866126" w:rsidRDefault="00866126" w:rsidP="00E27AAC">
            <w:pPr>
              <w:spacing w:line="276" w:lineRule="auto"/>
              <w:rPr>
                <w:color w:val="000000"/>
                <w:szCs w:val="24"/>
              </w:rPr>
            </w:pPr>
            <w:r w:rsidRPr="00866126">
              <w:rPr>
                <w:color w:val="000000"/>
                <w:szCs w:val="24"/>
              </w:rPr>
              <w:t xml:space="preserve">Relatively </w:t>
            </w:r>
            <w:r w:rsidR="00967181" w:rsidRPr="00866126">
              <w:rPr>
                <w:color w:val="000000"/>
                <w:szCs w:val="24"/>
              </w:rPr>
              <w:t>environ</w:t>
            </w:r>
            <w:r w:rsidR="00967181">
              <w:rPr>
                <w:color w:val="000000"/>
                <w:szCs w:val="24"/>
              </w:rPr>
              <w:t>ment</w:t>
            </w:r>
            <w:r w:rsidR="00967181" w:rsidRPr="00866126">
              <w:rPr>
                <w:color w:val="000000"/>
                <w:szCs w:val="24"/>
              </w:rPr>
              <w:t>ally</w:t>
            </w:r>
            <w:r w:rsidRPr="00866126">
              <w:rPr>
                <w:color w:val="000000"/>
                <w:szCs w:val="24"/>
              </w:rPr>
              <w:t xml:space="preserve"> friendly</w:t>
            </w:r>
          </w:p>
        </w:tc>
      </w:tr>
      <w:tr w:rsidR="00866126" w:rsidRPr="00866126" w:rsidTr="00866126">
        <w:trPr>
          <w:trHeight w:val="315"/>
        </w:trPr>
        <w:tc>
          <w:tcPr>
            <w:tcW w:w="4520" w:type="dxa"/>
            <w:shd w:val="clear" w:color="auto" w:fill="auto"/>
            <w:noWrap/>
            <w:vAlign w:val="center"/>
            <w:hideMark/>
          </w:tcPr>
          <w:p w:rsidR="00866126" w:rsidRPr="00866126" w:rsidRDefault="00866126" w:rsidP="00E27AAC">
            <w:pPr>
              <w:spacing w:line="276" w:lineRule="auto"/>
              <w:rPr>
                <w:color w:val="000000"/>
                <w:szCs w:val="24"/>
              </w:rPr>
            </w:pPr>
            <w:r w:rsidRPr="00866126">
              <w:rPr>
                <w:color w:val="000000"/>
                <w:szCs w:val="24"/>
              </w:rPr>
              <w:t xml:space="preserve">Porsche Perception   </w:t>
            </w:r>
          </w:p>
        </w:tc>
        <w:tc>
          <w:tcPr>
            <w:tcW w:w="1500" w:type="dxa"/>
            <w:shd w:val="clear" w:color="auto" w:fill="auto"/>
            <w:noWrap/>
            <w:vAlign w:val="center"/>
            <w:hideMark/>
          </w:tcPr>
          <w:p w:rsidR="00866126" w:rsidRPr="00866126" w:rsidRDefault="00866126" w:rsidP="00E27AAC">
            <w:pPr>
              <w:spacing w:line="276" w:lineRule="auto"/>
              <w:jc w:val="right"/>
              <w:rPr>
                <w:color w:val="000000"/>
                <w:szCs w:val="24"/>
              </w:rPr>
            </w:pPr>
            <w:r w:rsidRPr="00866126">
              <w:rPr>
                <w:color w:val="000000"/>
                <w:szCs w:val="24"/>
              </w:rPr>
              <w:t>32%</w:t>
            </w:r>
          </w:p>
        </w:tc>
        <w:tc>
          <w:tcPr>
            <w:tcW w:w="3660" w:type="dxa"/>
            <w:shd w:val="clear" w:color="auto" w:fill="auto"/>
            <w:noWrap/>
            <w:vAlign w:val="center"/>
            <w:hideMark/>
          </w:tcPr>
          <w:p w:rsidR="00866126" w:rsidRPr="00866126" w:rsidRDefault="00866126" w:rsidP="00E27AAC">
            <w:pPr>
              <w:spacing w:line="276" w:lineRule="auto"/>
              <w:rPr>
                <w:color w:val="000000"/>
                <w:szCs w:val="24"/>
              </w:rPr>
            </w:pPr>
            <w:r w:rsidRPr="00866126">
              <w:rPr>
                <w:color w:val="000000"/>
                <w:szCs w:val="24"/>
              </w:rPr>
              <w:t xml:space="preserve">Used for special </w:t>
            </w:r>
            <w:r w:rsidR="00967181" w:rsidRPr="00866126">
              <w:rPr>
                <w:color w:val="000000"/>
                <w:szCs w:val="24"/>
              </w:rPr>
              <w:t>occasions</w:t>
            </w:r>
            <w:r w:rsidRPr="00866126">
              <w:rPr>
                <w:color w:val="000000"/>
                <w:szCs w:val="24"/>
              </w:rPr>
              <w:t xml:space="preserve"> </w:t>
            </w:r>
          </w:p>
        </w:tc>
      </w:tr>
      <w:tr w:rsidR="00866126" w:rsidRPr="00866126" w:rsidTr="00866126">
        <w:trPr>
          <w:trHeight w:val="315"/>
        </w:trPr>
        <w:tc>
          <w:tcPr>
            <w:tcW w:w="4520" w:type="dxa"/>
            <w:shd w:val="clear" w:color="auto" w:fill="auto"/>
            <w:noWrap/>
            <w:vAlign w:val="center"/>
            <w:hideMark/>
          </w:tcPr>
          <w:p w:rsidR="00866126" w:rsidRPr="00866126" w:rsidRDefault="00866126" w:rsidP="00E27AAC">
            <w:pPr>
              <w:spacing w:line="276" w:lineRule="auto"/>
              <w:rPr>
                <w:color w:val="000000"/>
                <w:szCs w:val="24"/>
              </w:rPr>
            </w:pPr>
            <w:r w:rsidRPr="00866126">
              <w:rPr>
                <w:color w:val="000000"/>
                <w:szCs w:val="24"/>
              </w:rPr>
              <w:t xml:space="preserve">Porsche Perception   </w:t>
            </w:r>
          </w:p>
        </w:tc>
        <w:tc>
          <w:tcPr>
            <w:tcW w:w="1500" w:type="dxa"/>
            <w:shd w:val="clear" w:color="auto" w:fill="auto"/>
            <w:noWrap/>
            <w:vAlign w:val="center"/>
            <w:hideMark/>
          </w:tcPr>
          <w:p w:rsidR="00866126" w:rsidRPr="00866126" w:rsidRDefault="00866126" w:rsidP="00E27AAC">
            <w:pPr>
              <w:spacing w:line="276" w:lineRule="auto"/>
              <w:jc w:val="right"/>
              <w:rPr>
                <w:color w:val="000000"/>
                <w:szCs w:val="24"/>
              </w:rPr>
            </w:pPr>
            <w:r w:rsidRPr="00866126">
              <w:rPr>
                <w:color w:val="000000"/>
                <w:szCs w:val="24"/>
              </w:rPr>
              <w:t>42%</w:t>
            </w:r>
          </w:p>
        </w:tc>
        <w:tc>
          <w:tcPr>
            <w:tcW w:w="3660" w:type="dxa"/>
            <w:shd w:val="clear" w:color="auto" w:fill="auto"/>
            <w:noWrap/>
            <w:vAlign w:val="center"/>
            <w:hideMark/>
          </w:tcPr>
          <w:p w:rsidR="00866126" w:rsidRPr="00866126" w:rsidRDefault="00866126" w:rsidP="00E27AAC">
            <w:pPr>
              <w:spacing w:line="276" w:lineRule="auto"/>
              <w:rPr>
                <w:color w:val="000000"/>
                <w:szCs w:val="24"/>
              </w:rPr>
            </w:pPr>
            <w:r w:rsidRPr="00866126">
              <w:rPr>
                <w:color w:val="000000"/>
                <w:szCs w:val="24"/>
              </w:rPr>
              <w:t xml:space="preserve">Majority say its exclusive </w:t>
            </w:r>
          </w:p>
        </w:tc>
      </w:tr>
      <w:tr w:rsidR="00866126" w:rsidRPr="00866126" w:rsidTr="00866126">
        <w:trPr>
          <w:trHeight w:val="315"/>
        </w:trPr>
        <w:tc>
          <w:tcPr>
            <w:tcW w:w="4520" w:type="dxa"/>
            <w:shd w:val="clear" w:color="auto" w:fill="auto"/>
            <w:noWrap/>
            <w:vAlign w:val="center"/>
            <w:hideMark/>
          </w:tcPr>
          <w:p w:rsidR="00866126" w:rsidRPr="00866126" w:rsidRDefault="00866126" w:rsidP="00E27AAC">
            <w:pPr>
              <w:spacing w:line="276" w:lineRule="auto"/>
              <w:rPr>
                <w:color w:val="000000"/>
                <w:szCs w:val="24"/>
              </w:rPr>
            </w:pPr>
            <w:r w:rsidRPr="00866126">
              <w:rPr>
                <w:color w:val="000000"/>
                <w:szCs w:val="24"/>
              </w:rPr>
              <w:t xml:space="preserve">Porsche Driver's Perception   </w:t>
            </w:r>
          </w:p>
        </w:tc>
        <w:tc>
          <w:tcPr>
            <w:tcW w:w="1500" w:type="dxa"/>
            <w:shd w:val="clear" w:color="auto" w:fill="auto"/>
            <w:noWrap/>
            <w:vAlign w:val="center"/>
            <w:hideMark/>
          </w:tcPr>
          <w:p w:rsidR="00866126" w:rsidRPr="00866126" w:rsidRDefault="00866126" w:rsidP="00E27AAC">
            <w:pPr>
              <w:spacing w:line="276" w:lineRule="auto"/>
              <w:jc w:val="right"/>
              <w:rPr>
                <w:color w:val="000000"/>
                <w:szCs w:val="24"/>
              </w:rPr>
            </w:pPr>
            <w:r w:rsidRPr="00866126">
              <w:rPr>
                <w:color w:val="000000"/>
                <w:szCs w:val="24"/>
              </w:rPr>
              <w:t>39%</w:t>
            </w:r>
          </w:p>
        </w:tc>
        <w:tc>
          <w:tcPr>
            <w:tcW w:w="3660" w:type="dxa"/>
            <w:shd w:val="clear" w:color="auto" w:fill="auto"/>
            <w:noWrap/>
            <w:vAlign w:val="center"/>
            <w:hideMark/>
          </w:tcPr>
          <w:p w:rsidR="00866126" w:rsidRPr="00866126" w:rsidRDefault="00866126" w:rsidP="00E27AAC">
            <w:pPr>
              <w:spacing w:line="276" w:lineRule="auto"/>
              <w:rPr>
                <w:color w:val="000000"/>
                <w:szCs w:val="24"/>
              </w:rPr>
            </w:pPr>
            <w:r w:rsidRPr="00866126">
              <w:rPr>
                <w:color w:val="000000"/>
                <w:szCs w:val="24"/>
              </w:rPr>
              <w:t>Majority say they are middle aged</w:t>
            </w:r>
          </w:p>
        </w:tc>
      </w:tr>
      <w:tr w:rsidR="00866126" w:rsidRPr="00866126" w:rsidTr="00866126">
        <w:trPr>
          <w:trHeight w:val="315"/>
        </w:trPr>
        <w:tc>
          <w:tcPr>
            <w:tcW w:w="4520" w:type="dxa"/>
            <w:shd w:val="clear" w:color="auto" w:fill="auto"/>
            <w:noWrap/>
            <w:vAlign w:val="center"/>
            <w:hideMark/>
          </w:tcPr>
          <w:p w:rsidR="00866126" w:rsidRPr="00866126" w:rsidRDefault="00866126" w:rsidP="00E27AAC">
            <w:pPr>
              <w:spacing w:line="276" w:lineRule="auto"/>
              <w:rPr>
                <w:color w:val="000000"/>
                <w:szCs w:val="24"/>
              </w:rPr>
            </w:pPr>
            <w:r w:rsidRPr="00866126">
              <w:rPr>
                <w:color w:val="000000"/>
                <w:szCs w:val="24"/>
              </w:rPr>
              <w:t xml:space="preserve">Porsche Driver's Perception   </w:t>
            </w:r>
          </w:p>
        </w:tc>
        <w:tc>
          <w:tcPr>
            <w:tcW w:w="1500" w:type="dxa"/>
            <w:shd w:val="clear" w:color="auto" w:fill="auto"/>
            <w:noWrap/>
            <w:vAlign w:val="center"/>
            <w:hideMark/>
          </w:tcPr>
          <w:p w:rsidR="00866126" w:rsidRPr="00866126" w:rsidRDefault="00866126" w:rsidP="00E27AAC">
            <w:pPr>
              <w:spacing w:line="276" w:lineRule="auto"/>
              <w:jc w:val="right"/>
              <w:rPr>
                <w:color w:val="000000"/>
                <w:szCs w:val="24"/>
              </w:rPr>
            </w:pPr>
            <w:r w:rsidRPr="00866126">
              <w:rPr>
                <w:color w:val="000000"/>
                <w:szCs w:val="24"/>
              </w:rPr>
              <w:t>41</w:t>
            </w:r>
          </w:p>
        </w:tc>
        <w:tc>
          <w:tcPr>
            <w:tcW w:w="3660" w:type="dxa"/>
            <w:shd w:val="clear" w:color="auto" w:fill="auto"/>
            <w:noWrap/>
            <w:vAlign w:val="center"/>
            <w:hideMark/>
          </w:tcPr>
          <w:p w:rsidR="00866126" w:rsidRPr="00866126" w:rsidRDefault="00866126" w:rsidP="00E27AAC">
            <w:pPr>
              <w:spacing w:line="276" w:lineRule="auto"/>
              <w:rPr>
                <w:color w:val="000000"/>
                <w:szCs w:val="24"/>
              </w:rPr>
            </w:pPr>
            <w:r w:rsidRPr="00866126">
              <w:rPr>
                <w:color w:val="000000"/>
                <w:szCs w:val="24"/>
              </w:rPr>
              <w:t>Majority say they are masculine</w:t>
            </w:r>
          </w:p>
        </w:tc>
      </w:tr>
      <w:tr w:rsidR="00866126" w:rsidRPr="00866126" w:rsidTr="00866126">
        <w:trPr>
          <w:trHeight w:val="315"/>
        </w:trPr>
        <w:tc>
          <w:tcPr>
            <w:tcW w:w="4520" w:type="dxa"/>
            <w:shd w:val="clear" w:color="auto" w:fill="auto"/>
            <w:noWrap/>
            <w:vAlign w:val="center"/>
            <w:hideMark/>
          </w:tcPr>
          <w:p w:rsidR="00866126" w:rsidRPr="00866126" w:rsidRDefault="00866126" w:rsidP="00E27AAC">
            <w:pPr>
              <w:spacing w:line="276" w:lineRule="auto"/>
              <w:rPr>
                <w:color w:val="000000"/>
                <w:szCs w:val="24"/>
              </w:rPr>
            </w:pPr>
            <w:r w:rsidRPr="00866126">
              <w:rPr>
                <w:color w:val="000000"/>
                <w:szCs w:val="24"/>
              </w:rPr>
              <w:t xml:space="preserve">Porsche Driver's Perception   </w:t>
            </w:r>
          </w:p>
        </w:tc>
        <w:tc>
          <w:tcPr>
            <w:tcW w:w="1500" w:type="dxa"/>
            <w:shd w:val="clear" w:color="auto" w:fill="auto"/>
            <w:noWrap/>
            <w:vAlign w:val="center"/>
            <w:hideMark/>
          </w:tcPr>
          <w:p w:rsidR="00866126" w:rsidRPr="00866126" w:rsidRDefault="00866126" w:rsidP="00E27AAC">
            <w:pPr>
              <w:spacing w:line="276" w:lineRule="auto"/>
              <w:jc w:val="right"/>
              <w:rPr>
                <w:color w:val="000000"/>
                <w:szCs w:val="24"/>
              </w:rPr>
            </w:pPr>
            <w:r w:rsidRPr="00866126">
              <w:rPr>
                <w:color w:val="000000"/>
                <w:szCs w:val="24"/>
              </w:rPr>
              <w:t>56%</w:t>
            </w:r>
          </w:p>
        </w:tc>
        <w:tc>
          <w:tcPr>
            <w:tcW w:w="3660" w:type="dxa"/>
            <w:shd w:val="clear" w:color="auto" w:fill="auto"/>
            <w:noWrap/>
            <w:vAlign w:val="center"/>
            <w:hideMark/>
          </w:tcPr>
          <w:p w:rsidR="00866126" w:rsidRPr="00866126" w:rsidRDefault="00866126" w:rsidP="00E27AAC">
            <w:pPr>
              <w:spacing w:line="276" w:lineRule="auto"/>
              <w:rPr>
                <w:color w:val="000000"/>
                <w:szCs w:val="24"/>
              </w:rPr>
            </w:pPr>
            <w:r w:rsidRPr="00866126">
              <w:rPr>
                <w:color w:val="000000"/>
                <w:szCs w:val="24"/>
              </w:rPr>
              <w:t>Majority say drivers are high-class</w:t>
            </w:r>
          </w:p>
        </w:tc>
      </w:tr>
      <w:tr w:rsidR="00866126" w:rsidRPr="00866126" w:rsidTr="00866126">
        <w:trPr>
          <w:trHeight w:val="315"/>
        </w:trPr>
        <w:tc>
          <w:tcPr>
            <w:tcW w:w="4520" w:type="dxa"/>
            <w:shd w:val="clear" w:color="auto" w:fill="auto"/>
            <w:noWrap/>
            <w:vAlign w:val="center"/>
            <w:hideMark/>
          </w:tcPr>
          <w:p w:rsidR="00866126" w:rsidRPr="00866126" w:rsidRDefault="00866126" w:rsidP="00E27AAC">
            <w:pPr>
              <w:spacing w:line="276" w:lineRule="auto"/>
              <w:rPr>
                <w:color w:val="000000"/>
                <w:szCs w:val="24"/>
              </w:rPr>
            </w:pPr>
            <w:r w:rsidRPr="00866126">
              <w:rPr>
                <w:color w:val="000000"/>
                <w:szCs w:val="24"/>
              </w:rPr>
              <w:t>Perceived car performance- Porsche</w:t>
            </w:r>
          </w:p>
        </w:tc>
        <w:tc>
          <w:tcPr>
            <w:tcW w:w="1500" w:type="dxa"/>
            <w:shd w:val="clear" w:color="auto" w:fill="auto"/>
            <w:noWrap/>
            <w:vAlign w:val="center"/>
            <w:hideMark/>
          </w:tcPr>
          <w:p w:rsidR="00866126" w:rsidRPr="00866126" w:rsidRDefault="00866126" w:rsidP="00E27AAC">
            <w:pPr>
              <w:spacing w:line="276" w:lineRule="auto"/>
              <w:jc w:val="right"/>
              <w:rPr>
                <w:color w:val="000000"/>
                <w:szCs w:val="24"/>
              </w:rPr>
            </w:pPr>
            <w:r w:rsidRPr="00866126">
              <w:rPr>
                <w:color w:val="000000"/>
                <w:szCs w:val="24"/>
              </w:rPr>
              <w:t>34%</w:t>
            </w:r>
          </w:p>
        </w:tc>
        <w:tc>
          <w:tcPr>
            <w:tcW w:w="3660" w:type="dxa"/>
            <w:shd w:val="clear" w:color="auto" w:fill="auto"/>
            <w:noWrap/>
            <w:vAlign w:val="center"/>
            <w:hideMark/>
          </w:tcPr>
          <w:p w:rsidR="00866126" w:rsidRPr="00866126" w:rsidRDefault="00866126" w:rsidP="00E27AAC">
            <w:pPr>
              <w:spacing w:line="276" w:lineRule="auto"/>
              <w:rPr>
                <w:color w:val="000000"/>
                <w:szCs w:val="24"/>
              </w:rPr>
            </w:pPr>
            <w:r w:rsidRPr="00866126">
              <w:rPr>
                <w:color w:val="000000"/>
                <w:szCs w:val="24"/>
              </w:rPr>
              <w:t xml:space="preserve">34% say it tops in performance </w:t>
            </w:r>
          </w:p>
        </w:tc>
      </w:tr>
      <w:tr w:rsidR="00866126" w:rsidRPr="00866126" w:rsidTr="00866126">
        <w:trPr>
          <w:trHeight w:val="315"/>
        </w:trPr>
        <w:tc>
          <w:tcPr>
            <w:tcW w:w="4520" w:type="dxa"/>
            <w:shd w:val="clear" w:color="auto" w:fill="auto"/>
            <w:noWrap/>
            <w:vAlign w:val="center"/>
            <w:hideMark/>
          </w:tcPr>
          <w:p w:rsidR="00866126" w:rsidRPr="00866126" w:rsidRDefault="00866126" w:rsidP="00E27AAC">
            <w:pPr>
              <w:spacing w:line="276" w:lineRule="auto"/>
              <w:rPr>
                <w:color w:val="000000"/>
                <w:szCs w:val="24"/>
              </w:rPr>
            </w:pPr>
            <w:r w:rsidRPr="00866126">
              <w:rPr>
                <w:color w:val="000000"/>
                <w:szCs w:val="24"/>
              </w:rPr>
              <w:t xml:space="preserve">Perceived car performance- Tesla </w:t>
            </w:r>
          </w:p>
        </w:tc>
        <w:tc>
          <w:tcPr>
            <w:tcW w:w="1500" w:type="dxa"/>
            <w:shd w:val="clear" w:color="auto" w:fill="auto"/>
            <w:noWrap/>
            <w:vAlign w:val="center"/>
            <w:hideMark/>
          </w:tcPr>
          <w:p w:rsidR="00866126" w:rsidRPr="00866126" w:rsidRDefault="00866126" w:rsidP="00E27AAC">
            <w:pPr>
              <w:spacing w:line="276" w:lineRule="auto"/>
              <w:jc w:val="right"/>
              <w:rPr>
                <w:color w:val="000000"/>
                <w:szCs w:val="24"/>
              </w:rPr>
            </w:pPr>
            <w:r w:rsidRPr="00866126">
              <w:rPr>
                <w:color w:val="000000"/>
                <w:szCs w:val="24"/>
              </w:rPr>
              <w:t>27%</w:t>
            </w:r>
          </w:p>
        </w:tc>
        <w:tc>
          <w:tcPr>
            <w:tcW w:w="3660" w:type="dxa"/>
            <w:shd w:val="clear" w:color="auto" w:fill="auto"/>
            <w:noWrap/>
            <w:vAlign w:val="center"/>
            <w:hideMark/>
          </w:tcPr>
          <w:p w:rsidR="00866126" w:rsidRPr="00866126" w:rsidRDefault="00866126" w:rsidP="00E27AAC">
            <w:pPr>
              <w:spacing w:line="276" w:lineRule="auto"/>
              <w:rPr>
                <w:color w:val="000000"/>
                <w:szCs w:val="24"/>
              </w:rPr>
            </w:pPr>
            <w:r w:rsidRPr="00866126">
              <w:rPr>
                <w:color w:val="000000"/>
                <w:szCs w:val="24"/>
              </w:rPr>
              <w:t xml:space="preserve">27% say it tops in performance </w:t>
            </w:r>
          </w:p>
        </w:tc>
      </w:tr>
    </w:tbl>
    <w:p w:rsidR="00866126" w:rsidRDefault="00866126" w:rsidP="00866126">
      <w:pPr>
        <w:rPr>
          <w:b/>
        </w:rPr>
      </w:pPr>
    </w:p>
    <w:p w:rsidR="006806C4" w:rsidRDefault="006806C4" w:rsidP="00866126">
      <w:pPr>
        <w:rPr>
          <w:b/>
        </w:rPr>
      </w:pPr>
    </w:p>
    <w:p w:rsidR="006806C4" w:rsidRDefault="006806C4" w:rsidP="00866126">
      <w:pPr>
        <w:rPr>
          <w:b/>
        </w:rPr>
      </w:pPr>
    </w:p>
    <w:p w:rsidR="006806C4" w:rsidRDefault="006806C4" w:rsidP="006806C4">
      <w:pPr>
        <w:rPr>
          <w:b/>
        </w:rPr>
      </w:pPr>
      <w:r>
        <w:rPr>
          <w:b/>
        </w:rPr>
        <w:lastRenderedPageBreak/>
        <w:t xml:space="preserve">Itemized Research Analyses </w:t>
      </w:r>
    </w:p>
    <w:p w:rsidR="006806C4" w:rsidRDefault="00240AA9" w:rsidP="006B72AD">
      <w:r>
        <w:t xml:space="preserve">From the survey analysis, it is fair to say that Porsche is one of the most regarded, referred, and regarded car automakers in the world. </w:t>
      </w:r>
      <w:r w:rsidR="00E80585">
        <w:t xml:space="preserve">One can be forgiven for believing that Porsche’s new electric car is under the skin. </w:t>
      </w:r>
      <w:r w:rsidR="00643DB9">
        <w:t xml:space="preserve">It is apparent that most people are becoming increasingly aware of the economic benefits of a car. From this analysis, 90 percent those surveyed own a </w:t>
      </w:r>
      <w:r w:rsidR="00935F50">
        <w:t xml:space="preserve">sports </w:t>
      </w:r>
      <w:r w:rsidR="00643DB9">
        <w:t xml:space="preserve">car while 10 percent do not own a car as shown in the chart below. </w:t>
      </w:r>
    </w:p>
    <w:p w:rsidR="00E26637" w:rsidRDefault="00E83213" w:rsidP="00E83213">
      <w:r>
        <w:rPr>
          <w:noProof/>
        </w:rPr>
        <w:drawing>
          <wp:inline distT="0" distB="0" distL="0" distR="0" wp14:anchorId="1151FF36" wp14:editId="11B873DE">
            <wp:extent cx="5508702" cy="2743200"/>
            <wp:effectExtent l="0" t="0" r="1587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83213" w:rsidRDefault="00E26637" w:rsidP="006B72AD">
      <w:r>
        <w:t>For those considering to purchase a new electric car, when asked whether they preferred Porsche or Tesla, 34 percent said they preferred the Porsche car while 27 percent said they preferred the Tesla model</w:t>
      </w:r>
      <w:r w:rsidR="007773AB">
        <w:t xml:space="preserve">. </w:t>
      </w:r>
      <w:r w:rsidR="00D82131">
        <w:t xml:space="preserve">In particular, majority of the participants argued that Porsche’s products were top-notch and that the company was leading in terms of performance. </w:t>
      </w:r>
      <w:r w:rsidR="007773AB">
        <w:t xml:space="preserve">The following chart shows the participants preference between the two car firms. </w:t>
      </w:r>
    </w:p>
    <w:p w:rsidR="007450AD" w:rsidRDefault="003238BA" w:rsidP="006B72AD">
      <w:r>
        <w:rPr>
          <w:noProof/>
        </w:rPr>
        <w:lastRenderedPageBreak/>
        <w:drawing>
          <wp:inline distT="0" distB="0" distL="0" distR="0" wp14:anchorId="37B4144C" wp14:editId="285E1C3A">
            <wp:extent cx="6133171" cy="2743200"/>
            <wp:effectExtent l="0" t="0" r="2032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238BA" w:rsidRDefault="007450AD" w:rsidP="007450AD">
      <w:r>
        <w:t xml:space="preserve">When asked to list the top reasons they considered when purchasing a new electric car, they </w:t>
      </w:r>
      <w:r w:rsidR="00106F52">
        <w:t>chose such factors as</w:t>
      </w:r>
      <w:r w:rsidR="002C2093">
        <w:t xml:space="preserve"> price,</w:t>
      </w:r>
      <w:r w:rsidR="00106F52">
        <w:t xml:space="preserve"> </w:t>
      </w:r>
      <w:r w:rsidR="007E1A0D">
        <w:t>aesthetic</w:t>
      </w:r>
      <w:r w:rsidR="00275C14">
        <w:t xml:space="preserve"> design, convenience, as well as </w:t>
      </w:r>
      <w:r w:rsidR="009C3444">
        <w:t>performance</w:t>
      </w:r>
      <w:r w:rsidR="00275C14">
        <w:t xml:space="preserve">. However, </w:t>
      </w:r>
      <w:r w:rsidR="009C3444">
        <w:t xml:space="preserve">environmental impact and </w:t>
      </w:r>
      <w:r w:rsidR="00275C14">
        <w:t xml:space="preserve">driving technology scored the least, meaning that they were not major considerations when making a decision to buy a new electric car. </w:t>
      </w:r>
      <w:r w:rsidR="00B76D93">
        <w:t xml:space="preserve">The following chart demonstrates </w:t>
      </w:r>
      <w:r w:rsidR="003E310B">
        <w:t xml:space="preserve">the ratings given per factor. </w:t>
      </w:r>
    </w:p>
    <w:p w:rsidR="00FE631B" w:rsidRDefault="00FE631B" w:rsidP="007450AD">
      <w:r>
        <w:rPr>
          <w:noProof/>
        </w:rPr>
        <w:drawing>
          <wp:inline distT="0" distB="0" distL="0" distR="0" wp14:anchorId="081B10E9" wp14:editId="52C7E51E">
            <wp:extent cx="5954751" cy="2743200"/>
            <wp:effectExtent l="0" t="0" r="2730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85593" w:rsidRDefault="00085593" w:rsidP="007450AD"/>
    <w:p w:rsidR="00085593" w:rsidRDefault="00085593" w:rsidP="007450AD"/>
    <w:p w:rsidR="00374304" w:rsidRDefault="00473565" w:rsidP="007450AD">
      <w:r>
        <w:rPr>
          <w:noProof/>
        </w:rPr>
        <w:lastRenderedPageBreak/>
        <w:drawing>
          <wp:inline distT="0" distB="0" distL="0" distR="0" wp14:anchorId="3A62E733" wp14:editId="32955FC2">
            <wp:extent cx="6077415" cy="2921620"/>
            <wp:effectExtent l="0" t="0" r="1905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85593" w:rsidRDefault="00085593" w:rsidP="00374304">
      <w:pPr>
        <w:tabs>
          <w:tab w:val="left" w:pos="1510"/>
        </w:tabs>
      </w:pPr>
    </w:p>
    <w:p w:rsidR="003E7EE0" w:rsidRDefault="00374304" w:rsidP="00374304">
      <w:pPr>
        <w:tabs>
          <w:tab w:val="left" w:pos="1510"/>
        </w:tabs>
      </w:pPr>
      <w:r>
        <w:rPr>
          <w:noProof/>
        </w:rPr>
        <w:drawing>
          <wp:inline distT="0" distB="0" distL="0" distR="0" wp14:anchorId="52645F9C" wp14:editId="04FF2EF2">
            <wp:extent cx="6188927" cy="2743200"/>
            <wp:effectExtent l="0" t="0" r="2159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E7EE0" w:rsidRPr="003E7EE0" w:rsidRDefault="003E7EE0" w:rsidP="003E7EE0"/>
    <w:p w:rsidR="003E7EE0" w:rsidRPr="003E7EE0" w:rsidRDefault="00C81DCC" w:rsidP="003E7EE0">
      <w:r>
        <w:rPr>
          <w:noProof/>
        </w:rPr>
        <w:lastRenderedPageBreak/>
        <w:drawing>
          <wp:inline distT="0" distB="0" distL="0" distR="0" wp14:anchorId="03F96531" wp14:editId="0548B71F">
            <wp:extent cx="5954751" cy="2743200"/>
            <wp:effectExtent l="0" t="0" r="27305"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E7EE0" w:rsidRDefault="003E7EE0" w:rsidP="003E7EE0"/>
    <w:p w:rsidR="00BD4BC5" w:rsidRDefault="00BD4BC5" w:rsidP="003E7EE0">
      <w:r>
        <w:rPr>
          <w:noProof/>
        </w:rPr>
        <w:drawing>
          <wp:inline distT="0" distB="0" distL="0" distR="0" wp14:anchorId="51FF3C4C" wp14:editId="21F6E394">
            <wp:extent cx="6032810" cy="2743200"/>
            <wp:effectExtent l="0" t="0" r="2540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74304" w:rsidRDefault="00D823D3" w:rsidP="003E7EE0">
      <w:pPr>
        <w:tabs>
          <w:tab w:val="left" w:pos="3003"/>
        </w:tabs>
      </w:pPr>
      <w:r>
        <w:t xml:space="preserve">What the survey analysis also revealed is that </w:t>
      </w:r>
      <w:r w:rsidR="009202B0">
        <w:t xml:space="preserve">most of the people regarded Porsche’s products modern, environmentally friendly, and that majority would buy the company’s products. It was also revealed that most people were aware of the company’s electric car and would like to buy it. However, most of the participants considered this car as being high-class, used for classic events, and that was mostly owned by men. </w:t>
      </w:r>
    </w:p>
    <w:p w:rsidR="001D0C1D" w:rsidRDefault="001D0C1D" w:rsidP="003E7EE0">
      <w:pPr>
        <w:tabs>
          <w:tab w:val="left" w:pos="3003"/>
        </w:tabs>
      </w:pPr>
    </w:p>
    <w:p w:rsidR="001D0C1D" w:rsidRPr="0098379C" w:rsidRDefault="001D0C1D" w:rsidP="0098379C">
      <w:pPr>
        <w:tabs>
          <w:tab w:val="left" w:pos="3003"/>
        </w:tabs>
        <w:jc w:val="center"/>
        <w:rPr>
          <w:b/>
        </w:rPr>
      </w:pPr>
      <w:r w:rsidRPr="0098379C">
        <w:rPr>
          <w:b/>
        </w:rPr>
        <w:lastRenderedPageBreak/>
        <w:t>Recommendations</w:t>
      </w:r>
    </w:p>
    <w:p w:rsidR="003E7EE0" w:rsidRDefault="00874047" w:rsidP="003E7EE0">
      <w:pPr>
        <w:tabs>
          <w:tab w:val="left" w:pos="3003"/>
        </w:tabs>
      </w:pPr>
      <w:r>
        <w:t xml:space="preserve">From the above analysis, price is a major consideration in purchasing a new car by the majority of the people. As such, in efforts to create more sales and garner higher revenues, the company will have to sell the car at a relatively affordable price. </w:t>
      </w:r>
      <w:r w:rsidR="002C2631">
        <w:t xml:space="preserve">Because Porsche’s electric car is the most preferred to Tesla’s brand, the company would benefit from a larger market share in the sale of this vehicle. </w:t>
      </w:r>
      <w:bookmarkStart w:id="0" w:name="_GoBack"/>
      <w:bookmarkEnd w:id="0"/>
    </w:p>
    <w:p w:rsidR="003E7EE0" w:rsidRDefault="003E7EE0" w:rsidP="003E7EE0">
      <w:pPr>
        <w:tabs>
          <w:tab w:val="left" w:pos="3003"/>
        </w:tabs>
      </w:pPr>
    </w:p>
    <w:p w:rsidR="003E7EE0" w:rsidRPr="003E7EE0" w:rsidRDefault="003E7EE0" w:rsidP="003E7EE0">
      <w:pPr>
        <w:tabs>
          <w:tab w:val="left" w:pos="3003"/>
        </w:tabs>
      </w:pPr>
    </w:p>
    <w:sectPr w:rsidR="003E7EE0" w:rsidRPr="003E7EE0" w:rsidSect="007C56F0">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58C" w:rsidRDefault="009E258C" w:rsidP="00974C6B">
      <w:pPr>
        <w:spacing w:line="240" w:lineRule="auto"/>
      </w:pPr>
      <w:r>
        <w:separator/>
      </w:r>
    </w:p>
  </w:endnote>
  <w:endnote w:type="continuationSeparator" w:id="0">
    <w:p w:rsidR="009E258C" w:rsidRDefault="009E258C" w:rsidP="00974C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58C" w:rsidRDefault="009E258C" w:rsidP="00974C6B">
      <w:pPr>
        <w:spacing w:line="240" w:lineRule="auto"/>
      </w:pPr>
      <w:r>
        <w:separator/>
      </w:r>
    </w:p>
  </w:footnote>
  <w:footnote w:type="continuationSeparator" w:id="0">
    <w:p w:rsidR="009E258C" w:rsidRDefault="009E258C" w:rsidP="00974C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22B" w:rsidRPr="009551AA" w:rsidRDefault="00787CEE" w:rsidP="00787CEE">
    <w:r>
      <w:t xml:space="preserve">SURVEY ANALYSIS, FINDINGS, AND RECOMMENDATIONS </w:t>
    </w:r>
    <w:r>
      <w:tab/>
    </w:r>
    <w:r>
      <w:tab/>
      <w:t xml:space="preserve">                      </w:t>
    </w:r>
    <w:r w:rsidR="002F27B9" w:rsidRPr="004B40AD">
      <w:fldChar w:fldCharType="begin"/>
    </w:r>
    <w:r w:rsidR="002F27B9" w:rsidRPr="004B40AD">
      <w:instrText xml:space="preserve"> PAGE   \* MERGEFORMAT </w:instrText>
    </w:r>
    <w:r w:rsidR="002F27B9" w:rsidRPr="004B40AD">
      <w:fldChar w:fldCharType="separate"/>
    </w:r>
    <w:r w:rsidR="002C2631">
      <w:rPr>
        <w:noProof/>
      </w:rPr>
      <w:t>7</w:t>
    </w:r>
    <w:r w:rsidR="002F27B9" w:rsidRPr="004B40AD">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22B" w:rsidRPr="009551AA" w:rsidRDefault="002F27B9" w:rsidP="00787CEE">
    <w:r>
      <w:rPr>
        <w:szCs w:val="24"/>
      </w:rPr>
      <w:t xml:space="preserve">Running head: </w:t>
    </w:r>
    <w:r w:rsidR="00787CEE">
      <w:t xml:space="preserve">SURVEY ANALYSIS, FINDINGS, AND RECOMMENDATIONS </w:t>
    </w:r>
    <w:r w:rsidR="00787CEE">
      <w:t xml:space="preserve">                  </w:t>
    </w:r>
    <w:r w:rsidRPr="004B40AD">
      <w:rPr>
        <w:szCs w:val="24"/>
      </w:rPr>
      <w:fldChar w:fldCharType="begin"/>
    </w:r>
    <w:r w:rsidRPr="004B40AD">
      <w:rPr>
        <w:szCs w:val="24"/>
      </w:rPr>
      <w:instrText xml:space="preserve"> PAGE   \* MERGEFORMAT </w:instrText>
    </w:r>
    <w:r w:rsidRPr="004B40AD">
      <w:rPr>
        <w:szCs w:val="24"/>
      </w:rPr>
      <w:fldChar w:fldCharType="separate"/>
    </w:r>
    <w:r w:rsidR="009202B0">
      <w:rPr>
        <w:noProof/>
        <w:szCs w:val="24"/>
      </w:rPr>
      <w:t>1</w:t>
    </w:r>
    <w:r w:rsidRPr="004B40AD">
      <w:rPr>
        <w:noProof/>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5A2"/>
    <w:multiLevelType w:val="hybridMultilevel"/>
    <w:tmpl w:val="DC16F9FA"/>
    <w:lvl w:ilvl="0" w:tplc="E1C8353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70208"/>
    <w:multiLevelType w:val="hybridMultilevel"/>
    <w:tmpl w:val="42542474"/>
    <w:lvl w:ilvl="0" w:tplc="CB3EAEE6">
      <w:start w:val="1"/>
      <w:numFmt w:val="decimal"/>
      <w:lvlText w:val="%1."/>
      <w:lvlJc w:val="left"/>
      <w:pPr>
        <w:tabs>
          <w:tab w:val="num" w:pos="720"/>
        </w:tabs>
        <w:ind w:left="720" w:hanging="360"/>
      </w:pPr>
    </w:lvl>
    <w:lvl w:ilvl="1" w:tplc="55982714" w:tentative="1">
      <w:start w:val="1"/>
      <w:numFmt w:val="decimal"/>
      <w:lvlText w:val="%2."/>
      <w:lvlJc w:val="left"/>
      <w:pPr>
        <w:tabs>
          <w:tab w:val="num" w:pos="1440"/>
        </w:tabs>
        <w:ind w:left="1440" w:hanging="360"/>
      </w:pPr>
    </w:lvl>
    <w:lvl w:ilvl="2" w:tplc="A820476C" w:tentative="1">
      <w:start w:val="1"/>
      <w:numFmt w:val="decimal"/>
      <w:lvlText w:val="%3."/>
      <w:lvlJc w:val="left"/>
      <w:pPr>
        <w:tabs>
          <w:tab w:val="num" w:pos="2160"/>
        </w:tabs>
        <w:ind w:left="2160" w:hanging="360"/>
      </w:pPr>
    </w:lvl>
    <w:lvl w:ilvl="3" w:tplc="5D0E7214" w:tentative="1">
      <w:start w:val="1"/>
      <w:numFmt w:val="decimal"/>
      <w:lvlText w:val="%4."/>
      <w:lvlJc w:val="left"/>
      <w:pPr>
        <w:tabs>
          <w:tab w:val="num" w:pos="2880"/>
        </w:tabs>
        <w:ind w:left="2880" w:hanging="360"/>
      </w:pPr>
    </w:lvl>
    <w:lvl w:ilvl="4" w:tplc="085ABD3E" w:tentative="1">
      <w:start w:val="1"/>
      <w:numFmt w:val="decimal"/>
      <w:lvlText w:val="%5."/>
      <w:lvlJc w:val="left"/>
      <w:pPr>
        <w:tabs>
          <w:tab w:val="num" w:pos="3600"/>
        </w:tabs>
        <w:ind w:left="3600" w:hanging="360"/>
      </w:pPr>
    </w:lvl>
    <w:lvl w:ilvl="5" w:tplc="793ECE7E" w:tentative="1">
      <w:start w:val="1"/>
      <w:numFmt w:val="decimal"/>
      <w:lvlText w:val="%6."/>
      <w:lvlJc w:val="left"/>
      <w:pPr>
        <w:tabs>
          <w:tab w:val="num" w:pos="4320"/>
        </w:tabs>
        <w:ind w:left="4320" w:hanging="360"/>
      </w:pPr>
    </w:lvl>
    <w:lvl w:ilvl="6" w:tplc="30A6CC84" w:tentative="1">
      <w:start w:val="1"/>
      <w:numFmt w:val="decimal"/>
      <w:lvlText w:val="%7."/>
      <w:lvlJc w:val="left"/>
      <w:pPr>
        <w:tabs>
          <w:tab w:val="num" w:pos="5040"/>
        </w:tabs>
        <w:ind w:left="5040" w:hanging="360"/>
      </w:pPr>
    </w:lvl>
    <w:lvl w:ilvl="7" w:tplc="9328130C" w:tentative="1">
      <w:start w:val="1"/>
      <w:numFmt w:val="decimal"/>
      <w:lvlText w:val="%8."/>
      <w:lvlJc w:val="left"/>
      <w:pPr>
        <w:tabs>
          <w:tab w:val="num" w:pos="5760"/>
        </w:tabs>
        <w:ind w:left="5760" w:hanging="360"/>
      </w:pPr>
    </w:lvl>
    <w:lvl w:ilvl="8" w:tplc="1B30427E" w:tentative="1">
      <w:start w:val="1"/>
      <w:numFmt w:val="decimal"/>
      <w:lvlText w:val="%9."/>
      <w:lvlJc w:val="left"/>
      <w:pPr>
        <w:tabs>
          <w:tab w:val="num" w:pos="6480"/>
        </w:tabs>
        <w:ind w:left="6480" w:hanging="360"/>
      </w:pPr>
    </w:lvl>
  </w:abstractNum>
  <w:abstractNum w:abstractNumId="2">
    <w:nsid w:val="19C5445C"/>
    <w:multiLevelType w:val="hybridMultilevel"/>
    <w:tmpl w:val="7A2C4A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3B2B1D"/>
    <w:multiLevelType w:val="hybridMultilevel"/>
    <w:tmpl w:val="E4481ECC"/>
    <w:lvl w:ilvl="0" w:tplc="04090001">
      <w:start w:val="1"/>
      <w:numFmt w:val="bullet"/>
      <w:lvlText w:val=""/>
      <w:lvlJc w:val="left"/>
      <w:pPr>
        <w:ind w:left="720" w:hanging="360"/>
      </w:pPr>
      <w:rPr>
        <w:rFonts w:ascii="Symbol" w:hAnsi="Symbol" w:hint="default"/>
      </w:rPr>
    </w:lvl>
    <w:lvl w:ilvl="1" w:tplc="F722863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C13F73"/>
    <w:multiLevelType w:val="hybridMultilevel"/>
    <w:tmpl w:val="60923734"/>
    <w:lvl w:ilvl="0" w:tplc="04090001">
      <w:start w:val="1"/>
      <w:numFmt w:val="bullet"/>
      <w:lvlText w:val=""/>
      <w:lvlJc w:val="left"/>
      <w:pPr>
        <w:ind w:left="720" w:hanging="360"/>
      </w:pPr>
      <w:rPr>
        <w:rFonts w:ascii="Symbol" w:hAnsi="Symbol" w:hint="default"/>
      </w:rPr>
    </w:lvl>
    <w:lvl w:ilvl="1" w:tplc="24A2A6F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AD05CE"/>
    <w:multiLevelType w:val="hybridMultilevel"/>
    <w:tmpl w:val="DB0A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A75BFF"/>
    <w:multiLevelType w:val="hybridMultilevel"/>
    <w:tmpl w:val="8DE639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C86F24"/>
    <w:multiLevelType w:val="hybridMultilevel"/>
    <w:tmpl w:val="1B005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7"/>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a3NLU0tTCwtLA0MzdQ0lEKTi0uzszPAykwNKwFAPmFViktAAAA"/>
  </w:docVars>
  <w:rsids>
    <w:rsidRoot w:val="00974C6B"/>
    <w:rsid w:val="00001C3F"/>
    <w:rsid w:val="0001349D"/>
    <w:rsid w:val="00016A87"/>
    <w:rsid w:val="00024DF2"/>
    <w:rsid w:val="00027084"/>
    <w:rsid w:val="00032747"/>
    <w:rsid w:val="00047A05"/>
    <w:rsid w:val="00056078"/>
    <w:rsid w:val="0006157C"/>
    <w:rsid w:val="00061CC1"/>
    <w:rsid w:val="000620E8"/>
    <w:rsid w:val="0006587F"/>
    <w:rsid w:val="00066E4A"/>
    <w:rsid w:val="00067052"/>
    <w:rsid w:val="000675F1"/>
    <w:rsid w:val="00083593"/>
    <w:rsid w:val="00085593"/>
    <w:rsid w:val="00085975"/>
    <w:rsid w:val="00091DE2"/>
    <w:rsid w:val="0009791E"/>
    <w:rsid w:val="000B1AFF"/>
    <w:rsid w:val="000B4188"/>
    <w:rsid w:val="000C15AF"/>
    <w:rsid w:val="000C1EA9"/>
    <w:rsid w:val="000C682D"/>
    <w:rsid w:val="000D52EE"/>
    <w:rsid w:val="000E17AA"/>
    <w:rsid w:val="000E1A71"/>
    <w:rsid w:val="000E291E"/>
    <w:rsid w:val="000E4BD4"/>
    <w:rsid w:val="000F1A6D"/>
    <w:rsid w:val="001048BE"/>
    <w:rsid w:val="00106F52"/>
    <w:rsid w:val="001116D1"/>
    <w:rsid w:val="00115590"/>
    <w:rsid w:val="00121B59"/>
    <w:rsid w:val="0012349D"/>
    <w:rsid w:val="00125094"/>
    <w:rsid w:val="00126008"/>
    <w:rsid w:val="001339E9"/>
    <w:rsid w:val="001352A3"/>
    <w:rsid w:val="0013724F"/>
    <w:rsid w:val="0015173C"/>
    <w:rsid w:val="00156EF1"/>
    <w:rsid w:val="00166FE3"/>
    <w:rsid w:val="00173026"/>
    <w:rsid w:val="001744A9"/>
    <w:rsid w:val="00174A9E"/>
    <w:rsid w:val="00184601"/>
    <w:rsid w:val="001870FD"/>
    <w:rsid w:val="001911FF"/>
    <w:rsid w:val="00192EF2"/>
    <w:rsid w:val="00193076"/>
    <w:rsid w:val="00195236"/>
    <w:rsid w:val="001A1427"/>
    <w:rsid w:val="001A1562"/>
    <w:rsid w:val="001A27CB"/>
    <w:rsid w:val="001A6647"/>
    <w:rsid w:val="001B0EB6"/>
    <w:rsid w:val="001D0C1D"/>
    <w:rsid w:val="001D5E4F"/>
    <w:rsid w:val="001E431A"/>
    <w:rsid w:val="00202A6D"/>
    <w:rsid w:val="00206741"/>
    <w:rsid w:val="00210F58"/>
    <w:rsid w:val="002301B4"/>
    <w:rsid w:val="00237F25"/>
    <w:rsid w:val="00240AA9"/>
    <w:rsid w:val="00242536"/>
    <w:rsid w:val="002507FE"/>
    <w:rsid w:val="00261ED1"/>
    <w:rsid w:val="00262C1D"/>
    <w:rsid w:val="002630C5"/>
    <w:rsid w:val="00275C14"/>
    <w:rsid w:val="00281C8F"/>
    <w:rsid w:val="00287511"/>
    <w:rsid w:val="002A108E"/>
    <w:rsid w:val="002A1FC0"/>
    <w:rsid w:val="002A72C4"/>
    <w:rsid w:val="002B5148"/>
    <w:rsid w:val="002B53AB"/>
    <w:rsid w:val="002C2093"/>
    <w:rsid w:val="002C2631"/>
    <w:rsid w:val="002C26B0"/>
    <w:rsid w:val="002D7E13"/>
    <w:rsid w:val="002E0719"/>
    <w:rsid w:val="002E122B"/>
    <w:rsid w:val="002F271E"/>
    <w:rsid w:val="002F27B9"/>
    <w:rsid w:val="002F47A9"/>
    <w:rsid w:val="00300EC6"/>
    <w:rsid w:val="0030403F"/>
    <w:rsid w:val="00305FE9"/>
    <w:rsid w:val="00310813"/>
    <w:rsid w:val="0031181C"/>
    <w:rsid w:val="00312804"/>
    <w:rsid w:val="00313548"/>
    <w:rsid w:val="00321ECB"/>
    <w:rsid w:val="003238BA"/>
    <w:rsid w:val="0032567F"/>
    <w:rsid w:val="003345B0"/>
    <w:rsid w:val="00341826"/>
    <w:rsid w:val="0035160F"/>
    <w:rsid w:val="00360323"/>
    <w:rsid w:val="003611A1"/>
    <w:rsid w:val="00361A53"/>
    <w:rsid w:val="00365FA6"/>
    <w:rsid w:val="00366E24"/>
    <w:rsid w:val="00374304"/>
    <w:rsid w:val="00374545"/>
    <w:rsid w:val="00381192"/>
    <w:rsid w:val="003818BC"/>
    <w:rsid w:val="00384E8B"/>
    <w:rsid w:val="0038707C"/>
    <w:rsid w:val="003967A2"/>
    <w:rsid w:val="003A0FBA"/>
    <w:rsid w:val="003B1DCE"/>
    <w:rsid w:val="003B2191"/>
    <w:rsid w:val="003B6D52"/>
    <w:rsid w:val="003C3C4A"/>
    <w:rsid w:val="003D3F01"/>
    <w:rsid w:val="003D487D"/>
    <w:rsid w:val="003D6568"/>
    <w:rsid w:val="003D6771"/>
    <w:rsid w:val="003E310B"/>
    <w:rsid w:val="003E54E9"/>
    <w:rsid w:val="003E63D5"/>
    <w:rsid w:val="003E6C4C"/>
    <w:rsid w:val="003E7093"/>
    <w:rsid w:val="003E7EE0"/>
    <w:rsid w:val="00400646"/>
    <w:rsid w:val="0040223E"/>
    <w:rsid w:val="00402C23"/>
    <w:rsid w:val="00403465"/>
    <w:rsid w:val="004048DB"/>
    <w:rsid w:val="0040587A"/>
    <w:rsid w:val="00411BD4"/>
    <w:rsid w:val="00423FC1"/>
    <w:rsid w:val="0043377F"/>
    <w:rsid w:val="0044157C"/>
    <w:rsid w:val="00446345"/>
    <w:rsid w:val="0045296C"/>
    <w:rsid w:val="004537E7"/>
    <w:rsid w:val="00454579"/>
    <w:rsid w:val="00473565"/>
    <w:rsid w:val="00477E3A"/>
    <w:rsid w:val="00490C69"/>
    <w:rsid w:val="004920D6"/>
    <w:rsid w:val="00493E52"/>
    <w:rsid w:val="00496151"/>
    <w:rsid w:val="004A309F"/>
    <w:rsid w:val="004A37CC"/>
    <w:rsid w:val="004A6402"/>
    <w:rsid w:val="004B0B2B"/>
    <w:rsid w:val="004B400D"/>
    <w:rsid w:val="004B765F"/>
    <w:rsid w:val="004C0EEC"/>
    <w:rsid w:val="004C1C48"/>
    <w:rsid w:val="004C39FC"/>
    <w:rsid w:val="004C6EFB"/>
    <w:rsid w:val="004C7C13"/>
    <w:rsid w:val="004D304F"/>
    <w:rsid w:val="004D3E9C"/>
    <w:rsid w:val="004D7679"/>
    <w:rsid w:val="004F24AC"/>
    <w:rsid w:val="00505B56"/>
    <w:rsid w:val="005139C7"/>
    <w:rsid w:val="00517AA6"/>
    <w:rsid w:val="005211DA"/>
    <w:rsid w:val="00532FA7"/>
    <w:rsid w:val="0055645C"/>
    <w:rsid w:val="00566BC4"/>
    <w:rsid w:val="00571F50"/>
    <w:rsid w:val="00575142"/>
    <w:rsid w:val="00584185"/>
    <w:rsid w:val="00593743"/>
    <w:rsid w:val="00595B0E"/>
    <w:rsid w:val="005A0E71"/>
    <w:rsid w:val="005A2C36"/>
    <w:rsid w:val="005A371A"/>
    <w:rsid w:val="005A7241"/>
    <w:rsid w:val="005B2A49"/>
    <w:rsid w:val="005D08C8"/>
    <w:rsid w:val="005D0EBC"/>
    <w:rsid w:val="005E7693"/>
    <w:rsid w:val="005F2770"/>
    <w:rsid w:val="005F41F4"/>
    <w:rsid w:val="005F4BA1"/>
    <w:rsid w:val="00602134"/>
    <w:rsid w:val="0061338B"/>
    <w:rsid w:val="00621271"/>
    <w:rsid w:val="00621F96"/>
    <w:rsid w:val="00623E13"/>
    <w:rsid w:val="00625834"/>
    <w:rsid w:val="00643DB9"/>
    <w:rsid w:val="00646EDE"/>
    <w:rsid w:val="00647C18"/>
    <w:rsid w:val="00655452"/>
    <w:rsid w:val="0066128F"/>
    <w:rsid w:val="00673342"/>
    <w:rsid w:val="006735BD"/>
    <w:rsid w:val="006806C4"/>
    <w:rsid w:val="00686AFE"/>
    <w:rsid w:val="0069030F"/>
    <w:rsid w:val="00693D21"/>
    <w:rsid w:val="00696F94"/>
    <w:rsid w:val="006A1401"/>
    <w:rsid w:val="006A6977"/>
    <w:rsid w:val="006B3350"/>
    <w:rsid w:val="006B3DEF"/>
    <w:rsid w:val="006B4CDF"/>
    <w:rsid w:val="006B6544"/>
    <w:rsid w:val="006B6AF4"/>
    <w:rsid w:val="006B72AD"/>
    <w:rsid w:val="006C41A6"/>
    <w:rsid w:val="006C76B0"/>
    <w:rsid w:val="006D28E4"/>
    <w:rsid w:val="006D6160"/>
    <w:rsid w:val="006E1161"/>
    <w:rsid w:val="006E1ADE"/>
    <w:rsid w:val="006E29BF"/>
    <w:rsid w:val="006E5556"/>
    <w:rsid w:val="006E703C"/>
    <w:rsid w:val="006E7180"/>
    <w:rsid w:val="006F2777"/>
    <w:rsid w:val="006F63C6"/>
    <w:rsid w:val="007067AA"/>
    <w:rsid w:val="007138D4"/>
    <w:rsid w:val="007147CF"/>
    <w:rsid w:val="00730B0A"/>
    <w:rsid w:val="007450AD"/>
    <w:rsid w:val="00745888"/>
    <w:rsid w:val="00752593"/>
    <w:rsid w:val="0076262B"/>
    <w:rsid w:val="007651E9"/>
    <w:rsid w:val="007757E8"/>
    <w:rsid w:val="007773AB"/>
    <w:rsid w:val="00777EF0"/>
    <w:rsid w:val="00780023"/>
    <w:rsid w:val="00782294"/>
    <w:rsid w:val="00783931"/>
    <w:rsid w:val="00787CEE"/>
    <w:rsid w:val="007918EF"/>
    <w:rsid w:val="00795B69"/>
    <w:rsid w:val="007A22DE"/>
    <w:rsid w:val="007A35D9"/>
    <w:rsid w:val="007A4AB2"/>
    <w:rsid w:val="007A65E6"/>
    <w:rsid w:val="007B15F8"/>
    <w:rsid w:val="007B2E11"/>
    <w:rsid w:val="007C53B5"/>
    <w:rsid w:val="007E112D"/>
    <w:rsid w:val="007E1A0D"/>
    <w:rsid w:val="007E7FDF"/>
    <w:rsid w:val="007F4032"/>
    <w:rsid w:val="007F47F1"/>
    <w:rsid w:val="00803474"/>
    <w:rsid w:val="00805147"/>
    <w:rsid w:val="008065AE"/>
    <w:rsid w:val="00826384"/>
    <w:rsid w:val="008276D2"/>
    <w:rsid w:val="008305E8"/>
    <w:rsid w:val="00837D5A"/>
    <w:rsid w:val="00840F55"/>
    <w:rsid w:val="00851B07"/>
    <w:rsid w:val="00855544"/>
    <w:rsid w:val="00866126"/>
    <w:rsid w:val="008676D7"/>
    <w:rsid w:val="00874047"/>
    <w:rsid w:val="00874270"/>
    <w:rsid w:val="00883528"/>
    <w:rsid w:val="00887206"/>
    <w:rsid w:val="008A3ECC"/>
    <w:rsid w:val="008A4EE3"/>
    <w:rsid w:val="008A75EB"/>
    <w:rsid w:val="008B1976"/>
    <w:rsid w:val="008B60A9"/>
    <w:rsid w:val="008B6198"/>
    <w:rsid w:val="008C1F26"/>
    <w:rsid w:val="008D1C10"/>
    <w:rsid w:val="008E4365"/>
    <w:rsid w:val="008E462D"/>
    <w:rsid w:val="008F10C0"/>
    <w:rsid w:val="008F12E1"/>
    <w:rsid w:val="008F782E"/>
    <w:rsid w:val="0091128E"/>
    <w:rsid w:val="009202B0"/>
    <w:rsid w:val="00924CB4"/>
    <w:rsid w:val="009302CA"/>
    <w:rsid w:val="00931C29"/>
    <w:rsid w:val="00935F50"/>
    <w:rsid w:val="00941127"/>
    <w:rsid w:val="00943B80"/>
    <w:rsid w:val="009463BC"/>
    <w:rsid w:val="009507C2"/>
    <w:rsid w:val="009551AA"/>
    <w:rsid w:val="009639FD"/>
    <w:rsid w:val="00967181"/>
    <w:rsid w:val="00974C6B"/>
    <w:rsid w:val="0098379C"/>
    <w:rsid w:val="00984458"/>
    <w:rsid w:val="009844AC"/>
    <w:rsid w:val="0099059C"/>
    <w:rsid w:val="00992CA6"/>
    <w:rsid w:val="0099717B"/>
    <w:rsid w:val="009A2292"/>
    <w:rsid w:val="009B2D9D"/>
    <w:rsid w:val="009B35E3"/>
    <w:rsid w:val="009B4D0A"/>
    <w:rsid w:val="009C3444"/>
    <w:rsid w:val="009C6357"/>
    <w:rsid w:val="009D4825"/>
    <w:rsid w:val="009E258C"/>
    <w:rsid w:val="009E2614"/>
    <w:rsid w:val="009F1F6A"/>
    <w:rsid w:val="00A00F43"/>
    <w:rsid w:val="00A02C81"/>
    <w:rsid w:val="00A12D9A"/>
    <w:rsid w:val="00A416E5"/>
    <w:rsid w:val="00A45F67"/>
    <w:rsid w:val="00A477AF"/>
    <w:rsid w:val="00A53FCC"/>
    <w:rsid w:val="00A570E4"/>
    <w:rsid w:val="00A57EC2"/>
    <w:rsid w:val="00A6405D"/>
    <w:rsid w:val="00A658E1"/>
    <w:rsid w:val="00A66180"/>
    <w:rsid w:val="00A71949"/>
    <w:rsid w:val="00A76A4A"/>
    <w:rsid w:val="00A96169"/>
    <w:rsid w:val="00AA53C3"/>
    <w:rsid w:val="00AB1B24"/>
    <w:rsid w:val="00AB442E"/>
    <w:rsid w:val="00AC202A"/>
    <w:rsid w:val="00AC3C0F"/>
    <w:rsid w:val="00AC6327"/>
    <w:rsid w:val="00AE0D28"/>
    <w:rsid w:val="00AE511E"/>
    <w:rsid w:val="00AE5236"/>
    <w:rsid w:val="00AF0F62"/>
    <w:rsid w:val="00AF1C86"/>
    <w:rsid w:val="00B01991"/>
    <w:rsid w:val="00B10C5B"/>
    <w:rsid w:val="00B117E2"/>
    <w:rsid w:val="00B166B2"/>
    <w:rsid w:val="00B17695"/>
    <w:rsid w:val="00B20F2D"/>
    <w:rsid w:val="00B23E8E"/>
    <w:rsid w:val="00B251FE"/>
    <w:rsid w:val="00B327E4"/>
    <w:rsid w:val="00B378E1"/>
    <w:rsid w:val="00B4656D"/>
    <w:rsid w:val="00B46791"/>
    <w:rsid w:val="00B47083"/>
    <w:rsid w:val="00B605BF"/>
    <w:rsid w:val="00B65818"/>
    <w:rsid w:val="00B70A03"/>
    <w:rsid w:val="00B76D93"/>
    <w:rsid w:val="00B77E46"/>
    <w:rsid w:val="00B804C8"/>
    <w:rsid w:val="00B82705"/>
    <w:rsid w:val="00B83DE1"/>
    <w:rsid w:val="00B865B4"/>
    <w:rsid w:val="00B93C25"/>
    <w:rsid w:val="00B97451"/>
    <w:rsid w:val="00BA20A7"/>
    <w:rsid w:val="00BA4207"/>
    <w:rsid w:val="00BA7C62"/>
    <w:rsid w:val="00BB08FD"/>
    <w:rsid w:val="00BB0FA7"/>
    <w:rsid w:val="00BB3608"/>
    <w:rsid w:val="00BC3493"/>
    <w:rsid w:val="00BD4BC5"/>
    <w:rsid w:val="00BE0DCE"/>
    <w:rsid w:val="00BE5674"/>
    <w:rsid w:val="00BE6D5A"/>
    <w:rsid w:val="00BF26C7"/>
    <w:rsid w:val="00C062C6"/>
    <w:rsid w:val="00C1675C"/>
    <w:rsid w:val="00C16BD8"/>
    <w:rsid w:val="00C177AF"/>
    <w:rsid w:val="00C17A12"/>
    <w:rsid w:val="00C22298"/>
    <w:rsid w:val="00C348B9"/>
    <w:rsid w:val="00C357CC"/>
    <w:rsid w:val="00C365A4"/>
    <w:rsid w:val="00C451B4"/>
    <w:rsid w:val="00C53EF0"/>
    <w:rsid w:val="00C56BD6"/>
    <w:rsid w:val="00C71345"/>
    <w:rsid w:val="00C719F6"/>
    <w:rsid w:val="00C75490"/>
    <w:rsid w:val="00C777E6"/>
    <w:rsid w:val="00C81DCC"/>
    <w:rsid w:val="00C81ECA"/>
    <w:rsid w:val="00C82650"/>
    <w:rsid w:val="00C873B6"/>
    <w:rsid w:val="00C96106"/>
    <w:rsid w:val="00CB655E"/>
    <w:rsid w:val="00CC3245"/>
    <w:rsid w:val="00CC7B29"/>
    <w:rsid w:val="00CD1BEF"/>
    <w:rsid w:val="00CD3DEE"/>
    <w:rsid w:val="00CD5380"/>
    <w:rsid w:val="00CD56A4"/>
    <w:rsid w:val="00CE6816"/>
    <w:rsid w:val="00D0582E"/>
    <w:rsid w:val="00D12B6A"/>
    <w:rsid w:val="00D15C69"/>
    <w:rsid w:val="00D17EAA"/>
    <w:rsid w:val="00D2544E"/>
    <w:rsid w:val="00D30B88"/>
    <w:rsid w:val="00D354A6"/>
    <w:rsid w:val="00D35D95"/>
    <w:rsid w:val="00D36754"/>
    <w:rsid w:val="00D47D9A"/>
    <w:rsid w:val="00D47F27"/>
    <w:rsid w:val="00D64E95"/>
    <w:rsid w:val="00D64F48"/>
    <w:rsid w:val="00D82131"/>
    <w:rsid w:val="00D823D3"/>
    <w:rsid w:val="00D82FFC"/>
    <w:rsid w:val="00D876F9"/>
    <w:rsid w:val="00DA043A"/>
    <w:rsid w:val="00DA3474"/>
    <w:rsid w:val="00DB3311"/>
    <w:rsid w:val="00DC0951"/>
    <w:rsid w:val="00DC101B"/>
    <w:rsid w:val="00DC5FC2"/>
    <w:rsid w:val="00DD2872"/>
    <w:rsid w:val="00DD305F"/>
    <w:rsid w:val="00DD511A"/>
    <w:rsid w:val="00DD5628"/>
    <w:rsid w:val="00DE1CAA"/>
    <w:rsid w:val="00DE57F9"/>
    <w:rsid w:val="00DE6DAA"/>
    <w:rsid w:val="00DF0C7A"/>
    <w:rsid w:val="00E01818"/>
    <w:rsid w:val="00E2026C"/>
    <w:rsid w:val="00E26637"/>
    <w:rsid w:val="00E27AAC"/>
    <w:rsid w:val="00E3295E"/>
    <w:rsid w:val="00E33A3B"/>
    <w:rsid w:val="00E3560A"/>
    <w:rsid w:val="00E40E0E"/>
    <w:rsid w:val="00E528F2"/>
    <w:rsid w:val="00E52F8B"/>
    <w:rsid w:val="00E60F12"/>
    <w:rsid w:val="00E632EF"/>
    <w:rsid w:val="00E63F2C"/>
    <w:rsid w:val="00E66A9B"/>
    <w:rsid w:val="00E76AF7"/>
    <w:rsid w:val="00E80585"/>
    <w:rsid w:val="00E83213"/>
    <w:rsid w:val="00E85C95"/>
    <w:rsid w:val="00E86066"/>
    <w:rsid w:val="00E92A8E"/>
    <w:rsid w:val="00E96A98"/>
    <w:rsid w:val="00EA0769"/>
    <w:rsid w:val="00EA21B8"/>
    <w:rsid w:val="00EB0128"/>
    <w:rsid w:val="00EB082C"/>
    <w:rsid w:val="00EB1334"/>
    <w:rsid w:val="00EB6AEE"/>
    <w:rsid w:val="00EB76EF"/>
    <w:rsid w:val="00EC2741"/>
    <w:rsid w:val="00ED10DB"/>
    <w:rsid w:val="00ED4193"/>
    <w:rsid w:val="00ED4265"/>
    <w:rsid w:val="00EE026A"/>
    <w:rsid w:val="00EE0D68"/>
    <w:rsid w:val="00EE1B45"/>
    <w:rsid w:val="00EE2D81"/>
    <w:rsid w:val="00EE3163"/>
    <w:rsid w:val="00EE4320"/>
    <w:rsid w:val="00EE7D79"/>
    <w:rsid w:val="00F04BD3"/>
    <w:rsid w:val="00F04C83"/>
    <w:rsid w:val="00F0755A"/>
    <w:rsid w:val="00F11975"/>
    <w:rsid w:val="00F1234E"/>
    <w:rsid w:val="00F140A9"/>
    <w:rsid w:val="00F372D7"/>
    <w:rsid w:val="00F42083"/>
    <w:rsid w:val="00F42AE3"/>
    <w:rsid w:val="00F56D62"/>
    <w:rsid w:val="00F60711"/>
    <w:rsid w:val="00F70709"/>
    <w:rsid w:val="00F7288E"/>
    <w:rsid w:val="00F77D68"/>
    <w:rsid w:val="00F8747C"/>
    <w:rsid w:val="00F90F60"/>
    <w:rsid w:val="00F97B3B"/>
    <w:rsid w:val="00FA7BC4"/>
    <w:rsid w:val="00FB1C2F"/>
    <w:rsid w:val="00FB3A13"/>
    <w:rsid w:val="00FC060C"/>
    <w:rsid w:val="00FC0AA3"/>
    <w:rsid w:val="00FC59F1"/>
    <w:rsid w:val="00FC7A68"/>
    <w:rsid w:val="00FD017F"/>
    <w:rsid w:val="00FD27DE"/>
    <w:rsid w:val="00FD6517"/>
    <w:rsid w:val="00FE54A2"/>
    <w:rsid w:val="00FE5EC4"/>
    <w:rsid w:val="00FE631B"/>
    <w:rsid w:val="00FF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C6B"/>
    <w:pPr>
      <w:spacing w:after="0" w:line="480" w:lineRule="auto"/>
    </w:pPr>
    <w:rPr>
      <w:rFonts w:ascii="Times New Roman" w:eastAsia="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C6B"/>
    <w:pPr>
      <w:tabs>
        <w:tab w:val="center" w:pos="4680"/>
        <w:tab w:val="right" w:pos="9360"/>
      </w:tabs>
      <w:spacing w:line="240" w:lineRule="auto"/>
    </w:pPr>
  </w:style>
  <w:style w:type="character" w:customStyle="1" w:styleId="HeaderChar">
    <w:name w:val="Header Char"/>
    <w:basedOn w:val="DefaultParagraphFont"/>
    <w:link w:val="Header"/>
    <w:uiPriority w:val="99"/>
    <w:rsid w:val="00974C6B"/>
    <w:rPr>
      <w:rFonts w:ascii="Times New Roman" w:eastAsia="Times New Roman" w:hAnsi="Times New Roman" w:cs="Times New Roman"/>
      <w:sz w:val="24"/>
    </w:rPr>
  </w:style>
  <w:style w:type="paragraph" w:styleId="Footer">
    <w:name w:val="footer"/>
    <w:basedOn w:val="Normal"/>
    <w:link w:val="FooterChar"/>
    <w:uiPriority w:val="99"/>
    <w:unhideWhenUsed/>
    <w:rsid w:val="00974C6B"/>
    <w:pPr>
      <w:tabs>
        <w:tab w:val="center" w:pos="4680"/>
        <w:tab w:val="right" w:pos="9360"/>
      </w:tabs>
      <w:spacing w:line="240" w:lineRule="auto"/>
    </w:pPr>
  </w:style>
  <w:style w:type="character" w:customStyle="1" w:styleId="FooterChar">
    <w:name w:val="Footer Char"/>
    <w:basedOn w:val="DefaultParagraphFont"/>
    <w:link w:val="Footer"/>
    <w:uiPriority w:val="99"/>
    <w:rsid w:val="00974C6B"/>
    <w:rPr>
      <w:rFonts w:ascii="Times New Roman" w:eastAsia="Times New Roman" w:hAnsi="Times New Roman" w:cs="Times New Roman"/>
      <w:sz w:val="24"/>
    </w:rPr>
  </w:style>
  <w:style w:type="character" w:styleId="Hyperlink">
    <w:name w:val="Hyperlink"/>
    <w:basedOn w:val="DefaultParagraphFont"/>
    <w:uiPriority w:val="99"/>
    <w:semiHidden/>
    <w:unhideWhenUsed/>
    <w:rsid w:val="005D08C8"/>
    <w:rPr>
      <w:color w:val="0000FF"/>
      <w:u w:val="single"/>
    </w:rPr>
  </w:style>
  <w:style w:type="table" w:styleId="TableGrid">
    <w:name w:val="Table Grid"/>
    <w:basedOn w:val="TableNormal"/>
    <w:uiPriority w:val="59"/>
    <w:rsid w:val="00016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016A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Emphasis">
    <w:name w:val="Emphasis"/>
    <w:basedOn w:val="DefaultParagraphFont"/>
    <w:uiPriority w:val="20"/>
    <w:qFormat/>
    <w:rsid w:val="00BB08FD"/>
    <w:rPr>
      <w:i/>
      <w:iCs/>
    </w:rPr>
  </w:style>
  <w:style w:type="paragraph" w:styleId="ListParagraph">
    <w:name w:val="List Paragraph"/>
    <w:basedOn w:val="Normal"/>
    <w:uiPriority w:val="34"/>
    <w:qFormat/>
    <w:rsid w:val="00EB1334"/>
    <w:pPr>
      <w:ind w:left="720"/>
      <w:contextualSpacing/>
    </w:pPr>
  </w:style>
  <w:style w:type="paragraph" w:styleId="NormalWeb">
    <w:name w:val="Normal (Web)"/>
    <w:basedOn w:val="Normal"/>
    <w:uiPriority w:val="99"/>
    <w:semiHidden/>
    <w:unhideWhenUsed/>
    <w:rsid w:val="0038707C"/>
    <w:pPr>
      <w:spacing w:before="100" w:beforeAutospacing="1" w:after="100" w:afterAutospacing="1" w:line="240" w:lineRule="auto"/>
    </w:pPr>
    <w:rPr>
      <w:szCs w:val="24"/>
    </w:rPr>
  </w:style>
  <w:style w:type="paragraph" w:styleId="BalloonText">
    <w:name w:val="Balloon Text"/>
    <w:basedOn w:val="Normal"/>
    <w:link w:val="BalloonTextChar"/>
    <w:uiPriority w:val="99"/>
    <w:semiHidden/>
    <w:unhideWhenUsed/>
    <w:rsid w:val="002B53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A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C6B"/>
    <w:pPr>
      <w:spacing w:after="0" w:line="480" w:lineRule="auto"/>
    </w:pPr>
    <w:rPr>
      <w:rFonts w:ascii="Times New Roman" w:eastAsia="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C6B"/>
    <w:pPr>
      <w:tabs>
        <w:tab w:val="center" w:pos="4680"/>
        <w:tab w:val="right" w:pos="9360"/>
      </w:tabs>
      <w:spacing w:line="240" w:lineRule="auto"/>
    </w:pPr>
  </w:style>
  <w:style w:type="character" w:customStyle="1" w:styleId="HeaderChar">
    <w:name w:val="Header Char"/>
    <w:basedOn w:val="DefaultParagraphFont"/>
    <w:link w:val="Header"/>
    <w:uiPriority w:val="99"/>
    <w:rsid w:val="00974C6B"/>
    <w:rPr>
      <w:rFonts w:ascii="Times New Roman" w:eastAsia="Times New Roman" w:hAnsi="Times New Roman" w:cs="Times New Roman"/>
      <w:sz w:val="24"/>
    </w:rPr>
  </w:style>
  <w:style w:type="paragraph" w:styleId="Footer">
    <w:name w:val="footer"/>
    <w:basedOn w:val="Normal"/>
    <w:link w:val="FooterChar"/>
    <w:uiPriority w:val="99"/>
    <w:unhideWhenUsed/>
    <w:rsid w:val="00974C6B"/>
    <w:pPr>
      <w:tabs>
        <w:tab w:val="center" w:pos="4680"/>
        <w:tab w:val="right" w:pos="9360"/>
      </w:tabs>
      <w:spacing w:line="240" w:lineRule="auto"/>
    </w:pPr>
  </w:style>
  <w:style w:type="character" w:customStyle="1" w:styleId="FooterChar">
    <w:name w:val="Footer Char"/>
    <w:basedOn w:val="DefaultParagraphFont"/>
    <w:link w:val="Footer"/>
    <w:uiPriority w:val="99"/>
    <w:rsid w:val="00974C6B"/>
    <w:rPr>
      <w:rFonts w:ascii="Times New Roman" w:eastAsia="Times New Roman" w:hAnsi="Times New Roman" w:cs="Times New Roman"/>
      <w:sz w:val="24"/>
    </w:rPr>
  </w:style>
  <w:style w:type="character" w:styleId="Hyperlink">
    <w:name w:val="Hyperlink"/>
    <w:basedOn w:val="DefaultParagraphFont"/>
    <w:uiPriority w:val="99"/>
    <w:semiHidden/>
    <w:unhideWhenUsed/>
    <w:rsid w:val="005D08C8"/>
    <w:rPr>
      <w:color w:val="0000FF"/>
      <w:u w:val="single"/>
    </w:rPr>
  </w:style>
  <w:style w:type="table" w:styleId="TableGrid">
    <w:name w:val="Table Grid"/>
    <w:basedOn w:val="TableNormal"/>
    <w:uiPriority w:val="59"/>
    <w:rsid w:val="00016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016A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Emphasis">
    <w:name w:val="Emphasis"/>
    <w:basedOn w:val="DefaultParagraphFont"/>
    <w:uiPriority w:val="20"/>
    <w:qFormat/>
    <w:rsid w:val="00BB08FD"/>
    <w:rPr>
      <w:i/>
      <w:iCs/>
    </w:rPr>
  </w:style>
  <w:style w:type="paragraph" w:styleId="ListParagraph">
    <w:name w:val="List Paragraph"/>
    <w:basedOn w:val="Normal"/>
    <w:uiPriority w:val="34"/>
    <w:qFormat/>
    <w:rsid w:val="00EB1334"/>
    <w:pPr>
      <w:ind w:left="720"/>
      <w:contextualSpacing/>
    </w:pPr>
  </w:style>
  <w:style w:type="paragraph" w:styleId="NormalWeb">
    <w:name w:val="Normal (Web)"/>
    <w:basedOn w:val="Normal"/>
    <w:uiPriority w:val="99"/>
    <w:semiHidden/>
    <w:unhideWhenUsed/>
    <w:rsid w:val="0038707C"/>
    <w:pPr>
      <w:spacing w:before="100" w:beforeAutospacing="1" w:after="100" w:afterAutospacing="1" w:line="240" w:lineRule="auto"/>
    </w:pPr>
    <w:rPr>
      <w:szCs w:val="24"/>
    </w:rPr>
  </w:style>
  <w:style w:type="paragraph" w:styleId="BalloonText">
    <w:name w:val="Balloon Text"/>
    <w:basedOn w:val="Normal"/>
    <w:link w:val="BalloonTextChar"/>
    <w:uiPriority w:val="99"/>
    <w:semiHidden/>
    <w:unhideWhenUsed/>
    <w:rsid w:val="002B53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A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3259">
      <w:bodyDiv w:val="1"/>
      <w:marLeft w:val="0"/>
      <w:marRight w:val="0"/>
      <w:marTop w:val="0"/>
      <w:marBottom w:val="0"/>
      <w:divBdr>
        <w:top w:val="none" w:sz="0" w:space="0" w:color="auto"/>
        <w:left w:val="none" w:sz="0" w:space="0" w:color="auto"/>
        <w:bottom w:val="none" w:sz="0" w:space="0" w:color="auto"/>
        <w:right w:val="none" w:sz="0" w:space="0" w:color="auto"/>
      </w:divBdr>
    </w:div>
    <w:div w:id="123084316">
      <w:bodyDiv w:val="1"/>
      <w:marLeft w:val="0"/>
      <w:marRight w:val="0"/>
      <w:marTop w:val="0"/>
      <w:marBottom w:val="0"/>
      <w:divBdr>
        <w:top w:val="none" w:sz="0" w:space="0" w:color="auto"/>
        <w:left w:val="none" w:sz="0" w:space="0" w:color="auto"/>
        <w:bottom w:val="none" w:sz="0" w:space="0" w:color="auto"/>
        <w:right w:val="none" w:sz="0" w:space="0" w:color="auto"/>
      </w:divBdr>
    </w:div>
    <w:div w:id="332992775">
      <w:bodyDiv w:val="1"/>
      <w:marLeft w:val="0"/>
      <w:marRight w:val="0"/>
      <w:marTop w:val="0"/>
      <w:marBottom w:val="0"/>
      <w:divBdr>
        <w:top w:val="none" w:sz="0" w:space="0" w:color="auto"/>
        <w:left w:val="none" w:sz="0" w:space="0" w:color="auto"/>
        <w:bottom w:val="none" w:sz="0" w:space="0" w:color="auto"/>
        <w:right w:val="none" w:sz="0" w:space="0" w:color="auto"/>
      </w:divBdr>
      <w:divsChild>
        <w:div w:id="207029579">
          <w:marLeft w:val="0"/>
          <w:marRight w:val="0"/>
          <w:marTop w:val="0"/>
          <w:marBottom w:val="288"/>
          <w:divBdr>
            <w:top w:val="none" w:sz="0" w:space="0" w:color="auto"/>
            <w:left w:val="none" w:sz="0" w:space="0" w:color="auto"/>
            <w:bottom w:val="none" w:sz="0" w:space="0" w:color="auto"/>
            <w:right w:val="none" w:sz="0" w:space="0" w:color="auto"/>
          </w:divBdr>
        </w:div>
        <w:div w:id="705250142">
          <w:marLeft w:val="0"/>
          <w:marRight w:val="0"/>
          <w:marTop w:val="0"/>
          <w:marBottom w:val="288"/>
          <w:divBdr>
            <w:top w:val="none" w:sz="0" w:space="0" w:color="auto"/>
            <w:left w:val="none" w:sz="0" w:space="0" w:color="auto"/>
            <w:bottom w:val="none" w:sz="0" w:space="0" w:color="auto"/>
            <w:right w:val="none" w:sz="0" w:space="0" w:color="auto"/>
          </w:divBdr>
        </w:div>
      </w:divsChild>
    </w:div>
    <w:div w:id="340087871">
      <w:bodyDiv w:val="1"/>
      <w:marLeft w:val="0"/>
      <w:marRight w:val="0"/>
      <w:marTop w:val="0"/>
      <w:marBottom w:val="0"/>
      <w:divBdr>
        <w:top w:val="none" w:sz="0" w:space="0" w:color="auto"/>
        <w:left w:val="none" w:sz="0" w:space="0" w:color="auto"/>
        <w:bottom w:val="none" w:sz="0" w:space="0" w:color="auto"/>
        <w:right w:val="none" w:sz="0" w:space="0" w:color="auto"/>
      </w:divBdr>
    </w:div>
    <w:div w:id="458424552">
      <w:bodyDiv w:val="1"/>
      <w:marLeft w:val="0"/>
      <w:marRight w:val="0"/>
      <w:marTop w:val="0"/>
      <w:marBottom w:val="0"/>
      <w:divBdr>
        <w:top w:val="none" w:sz="0" w:space="0" w:color="auto"/>
        <w:left w:val="none" w:sz="0" w:space="0" w:color="auto"/>
        <w:bottom w:val="none" w:sz="0" w:space="0" w:color="auto"/>
        <w:right w:val="none" w:sz="0" w:space="0" w:color="auto"/>
      </w:divBdr>
    </w:div>
    <w:div w:id="870387263">
      <w:bodyDiv w:val="1"/>
      <w:marLeft w:val="0"/>
      <w:marRight w:val="0"/>
      <w:marTop w:val="0"/>
      <w:marBottom w:val="0"/>
      <w:divBdr>
        <w:top w:val="none" w:sz="0" w:space="0" w:color="auto"/>
        <w:left w:val="none" w:sz="0" w:space="0" w:color="auto"/>
        <w:bottom w:val="none" w:sz="0" w:space="0" w:color="auto"/>
        <w:right w:val="none" w:sz="0" w:space="0" w:color="auto"/>
      </w:divBdr>
    </w:div>
    <w:div w:id="941493531">
      <w:bodyDiv w:val="1"/>
      <w:marLeft w:val="0"/>
      <w:marRight w:val="0"/>
      <w:marTop w:val="0"/>
      <w:marBottom w:val="0"/>
      <w:divBdr>
        <w:top w:val="none" w:sz="0" w:space="0" w:color="auto"/>
        <w:left w:val="none" w:sz="0" w:space="0" w:color="auto"/>
        <w:bottom w:val="none" w:sz="0" w:space="0" w:color="auto"/>
        <w:right w:val="none" w:sz="0" w:space="0" w:color="auto"/>
      </w:divBdr>
    </w:div>
    <w:div w:id="1056509905">
      <w:bodyDiv w:val="1"/>
      <w:marLeft w:val="0"/>
      <w:marRight w:val="0"/>
      <w:marTop w:val="0"/>
      <w:marBottom w:val="0"/>
      <w:divBdr>
        <w:top w:val="none" w:sz="0" w:space="0" w:color="auto"/>
        <w:left w:val="none" w:sz="0" w:space="0" w:color="auto"/>
        <w:bottom w:val="none" w:sz="0" w:space="0" w:color="auto"/>
        <w:right w:val="none" w:sz="0" w:space="0" w:color="auto"/>
      </w:divBdr>
    </w:div>
    <w:div w:id="1083406282">
      <w:bodyDiv w:val="1"/>
      <w:marLeft w:val="0"/>
      <w:marRight w:val="0"/>
      <w:marTop w:val="0"/>
      <w:marBottom w:val="0"/>
      <w:divBdr>
        <w:top w:val="none" w:sz="0" w:space="0" w:color="auto"/>
        <w:left w:val="none" w:sz="0" w:space="0" w:color="auto"/>
        <w:bottom w:val="none" w:sz="0" w:space="0" w:color="auto"/>
        <w:right w:val="none" w:sz="0" w:space="0" w:color="auto"/>
      </w:divBdr>
    </w:div>
    <w:div w:id="1100956823">
      <w:bodyDiv w:val="1"/>
      <w:marLeft w:val="0"/>
      <w:marRight w:val="0"/>
      <w:marTop w:val="0"/>
      <w:marBottom w:val="0"/>
      <w:divBdr>
        <w:top w:val="none" w:sz="0" w:space="0" w:color="auto"/>
        <w:left w:val="none" w:sz="0" w:space="0" w:color="auto"/>
        <w:bottom w:val="none" w:sz="0" w:space="0" w:color="auto"/>
        <w:right w:val="none" w:sz="0" w:space="0" w:color="auto"/>
      </w:divBdr>
    </w:div>
    <w:div w:id="1192838139">
      <w:bodyDiv w:val="1"/>
      <w:marLeft w:val="0"/>
      <w:marRight w:val="0"/>
      <w:marTop w:val="0"/>
      <w:marBottom w:val="0"/>
      <w:divBdr>
        <w:top w:val="none" w:sz="0" w:space="0" w:color="auto"/>
        <w:left w:val="none" w:sz="0" w:space="0" w:color="auto"/>
        <w:bottom w:val="none" w:sz="0" w:space="0" w:color="auto"/>
        <w:right w:val="none" w:sz="0" w:space="0" w:color="auto"/>
      </w:divBdr>
    </w:div>
    <w:div w:id="1200240076">
      <w:bodyDiv w:val="1"/>
      <w:marLeft w:val="0"/>
      <w:marRight w:val="0"/>
      <w:marTop w:val="0"/>
      <w:marBottom w:val="0"/>
      <w:divBdr>
        <w:top w:val="none" w:sz="0" w:space="0" w:color="auto"/>
        <w:left w:val="none" w:sz="0" w:space="0" w:color="auto"/>
        <w:bottom w:val="none" w:sz="0" w:space="0" w:color="auto"/>
        <w:right w:val="none" w:sz="0" w:space="0" w:color="auto"/>
      </w:divBdr>
    </w:div>
    <w:div w:id="1241720581">
      <w:bodyDiv w:val="1"/>
      <w:marLeft w:val="0"/>
      <w:marRight w:val="0"/>
      <w:marTop w:val="0"/>
      <w:marBottom w:val="0"/>
      <w:divBdr>
        <w:top w:val="none" w:sz="0" w:space="0" w:color="auto"/>
        <w:left w:val="none" w:sz="0" w:space="0" w:color="auto"/>
        <w:bottom w:val="none" w:sz="0" w:space="0" w:color="auto"/>
        <w:right w:val="none" w:sz="0" w:space="0" w:color="auto"/>
      </w:divBdr>
    </w:div>
    <w:div w:id="1637685078">
      <w:bodyDiv w:val="1"/>
      <w:marLeft w:val="0"/>
      <w:marRight w:val="0"/>
      <w:marTop w:val="0"/>
      <w:marBottom w:val="0"/>
      <w:divBdr>
        <w:top w:val="none" w:sz="0" w:space="0" w:color="auto"/>
        <w:left w:val="none" w:sz="0" w:space="0" w:color="auto"/>
        <w:bottom w:val="none" w:sz="0" w:space="0" w:color="auto"/>
        <w:right w:val="none" w:sz="0" w:space="0" w:color="auto"/>
      </w:divBdr>
    </w:div>
    <w:div w:id="1900242001">
      <w:bodyDiv w:val="1"/>
      <w:marLeft w:val="0"/>
      <w:marRight w:val="0"/>
      <w:marTop w:val="0"/>
      <w:marBottom w:val="0"/>
      <w:divBdr>
        <w:top w:val="none" w:sz="0" w:space="0" w:color="auto"/>
        <w:left w:val="none" w:sz="0" w:space="0" w:color="auto"/>
        <w:bottom w:val="none" w:sz="0" w:space="0" w:color="auto"/>
        <w:right w:val="none" w:sz="0" w:space="0" w:color="auto"/>
      </w:divBdr>
    </w:div>
    <w:div w:id="2015524004">
      <w:bodyDiv w:val="1"/>
      <w:marLeft w:val="0"/>
      <w:marRight w:val="0"/>
      <w:marTop w:val="0"/>
      <w:marBottom w:val="0"/>
      <w:divBdr>
        <w:top w:val="none" w:sz="0" w:space="0" w:color="auto"/>
        <w:left w:val="none" w:sz="0" w:space="0" w:color="auto"/>
        <w:bottom w:val="none" w:sz="0" w:space="0" w:color="auto"/>
        <w:right w:val="none" w:sz="0" w:space="0" w:color="auto"/>
      </w:divBdr>
    </w:div>
    <w:div w:id="20979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oya\Desktop\Porche%20car%20analy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oya\Desktop\Porche%20car%20analys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oya\Desktop\Porche%20car%20analys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oya\Desktop\Porche%20car%20analysi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oya\Desktop\Porche%20car%20analysi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oya\Desktop\Porche%20car%20analysi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oya\Desktop\Porche%20car%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b="0"/>
              <a:t>Percentage with Sports Car</a:t>
            </a:r>
          </a:p>
        </c:rich>
      </c:tx>
      <c:overlay val="0"/>
    </c:title>
    <c:autoTitleDeleted val="0"/>
    <c:plotArea>
      <c:layout/>
      <c:barChart>
        <c:barDir val="col"/>
        <c:grouping val="clustered"/>
        <c:varyColors val="0"/>
        <c:ser>
          <c:idx val="0"/>
          <c:order val="0"/>
          <c:invertIfNegative val="0"/>
          <c:dLbls>
            <c:dLblPos val="inEnd"/>
            <c:showLegendKey val="0"/>
            <c:showVal val="1"/>
            <c:showCatName val="0"/>
            <c:showSerName val="0"/>
            <c:showPercent val="0"/>
            <c:showBubbleSize val="0"/>
            <c:showLeaderLines val="0"/>
          </c:dLbls>
          <c:cat>
            <c:strRef>
              <c:f>'own a car'!$C$7:$C$8</c:f>
              <c:strCache>
                <c:ptCount val="2"/>
                <c:pt idx="0">
                  <c:v>Sports Car</c:v>
                </c:pt>
                <c:pt idx="1">
                  <c:v>No Sports Car</c:v>
                </c:pt>
              </c:strCache>
            </c:strRef>
          </c:cat>
          <c:val>
            <c:numRef>
              <c:f>'own a car'!$D$7:$D$8</c:f>
              <c:numCache>
                <c:formatCode>0%</c:formatCode>
                <c:ptCount val="2"/>
                <c:pt idx="0">
                  <c:v>0.9</c:v>
                </c:pt>
                <c:pt idx="1">
                  <c:v>0.1</c:v>
                </c:pt>
              </c:numCache>
            </c:numRef>
          </c:val>
        </c:ser>
        <c:dLbls>
          <c:showLegendKey val="0"/>
          <c:showVal val="0"/>
          <c:showCatName val="0"/>
          <c:showSerName val="0"/>
          <c:showPercent val="0"/>
          <c:showBubbleSize val="0"/>
        </c:dLbls>
        <c:gapWidth val="75"/>
        <c:overlap val="40"/>
        <c:axId val="260308992"/>
        <c:axId val="268423168"/>
      </c:barChart>
      <c:catAx>
        <c:axId val="260308992"/>
        <c:scaling>
          <c:orientation val="minMax"/>
        </c:scaling>
        <c:delete val="0"/>
        <c:axPos val="b"/>
        <c:majorTickMark val="none"/>
        <c:minorTickMark val="none"/>
        <c:tickLblPos val="nextTo"/>
        <c:crossAx val="268423168"/>
        <c:crosses val="autoZero"/>
        <c:auto val="1"/>
        <c:lblAlgn val="ctr"/>
        <c:lblOffset val="100"/>
        <c:noMultiLvlLbl val="0"/>
      </c:catAx>
      <c:valAx>
        <c:axId val="268423168"/>
        <c:scaling>
          <c:orientation val="minMax"/>
        </c:scaling>
        <c:delete val="0"/>
        <c:axPos val="l"/>
        <c:majorGridlines/>
        <c:numFmt formatCode="0%" sourceLinked="1"/>
        <c:majorTickMark val="none"/>
        <c:minorTickMark val="none"/>
        <c:tickLblPos val="nextTo"/>
        <c:crossAx val="26030899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en-US" b="0"/>
              <a:t>Manufacturer Performance </a:t>
            </a:r>
          </a:p>
        </c:rich>
      </c:tx>
      <c:overlay val="0"/>
    </c:title>
    <c:autoTitleDeleted val="0"/>
    <c:plotArea>
      <c:layout/>
      <c:barChart>
        <c:barDir val="col"/>
        <c:grouping val="clustered"/>
        <c:varyColors val="0"/>
        <c:ser>
          <c:idx val="0"/>
          <c:order val="0"/>
          <c:invertIfNegative val="0"/>
          <c:dLbls>
            <c:dLblPos val="inEnd"/>
            <c:showLegendKey val="0"/>
            <c:showVal val="1"/>
            <c:showCatName val="0"/>
            <c:showSerName val="0"/>
            <c:showPercent val="0"/>
            <c:showBubbleSize val="0"/>
            <c:showLeaderLines val="0"/>
          </c:dLbls>
          <c:cat>
            <c:strRef>
              <c:f>'Tesla or Porsche'!$B$4:$B$5</c:f>
              <c:strCache>
                <c:ptCount val="2"/>
                <c:pt idx="0">
                  <c:v>Porsche</c:v>
                </c:pt>
                <c:pt idx="1">
                  <c:v>Tesla</c:v>
                </c:pt>
              </c:strCache>
            </c:strRef>
          </c:cat>
          <c:val>
            <c:numRef>
              <c:f>'Tesla or Porsche'!$C$4:$C$5</c:f>
              <c:numCache>
                <c:formatCode>0%</c:formatCode>
                <c:ptCount val="2"/>
                <c:pt idx="0">
                  <c:v>0.34</c:v>
                </c:pt>
                <c:pt idx="1">
                  <c:v>0.27</c:v>
                </c:pt>
              </c:numCache>
            </c:numRef>
          </c:val>
        </c:ser>
        <c:dLbls>
          <c:showLegendKey val="0"/>
          <c:showVal val="0"/>
          <c:showCatName val="0"/>
          <c:showSerName val="0"/>
          <c:showPercent val="0"/>
          <c:showBubbleSize val="0"/>
        </c:dLbls>
        <c:gapWidth val="75"/>
        <c:overlap val="40"/>
        <c:axId val="259601152"/>
        <c:axId val="259602688"/>
      </c:barChart>
      <c:catAx>
        <c:axId val="259601152"/>
        <c:scaling>
          <c:orientation val="minMax"/>
        </c:scaling>
        <c:delete val="0"/>
        <c:axPos val="b"/>
        <c:majorTickMark val="none"/>
        <c:minorTickMark val="none"/>
        <c:tickLblPos val="nextTo"/>
        <c:crossAx val="259602688"/>
        <c:crosses val="autoZero"/>
        <c:auto val="1"/>
        <c:lblAlgn val="ctr"/>
        <c:lblOffset val="100"/>
        <c:noMultiLvlLbl val="0"/>
      </c:catAx>
      <c:valAx>
        <c:axId val="259602688"/>
        <c:scaling>
          <c:orientation val="minMax"/>
        </c:scaling>
        <c:delete val="0"/>
        <c:axPos val="l"/>
        <c:majorGridlines/>
        <c:numFmt formatCode="0%" sourceLinked="1"/>
        <c:majorTickMark val="none"/>
        <c:minorTickMark val="none"/>
        <c:tickLblPos val="nextTo"/>
        <c:crossAx val="25960115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en-US" b="0"/>
              <a:t>Price</a:t>
            </a:r>
            <a:r>
              <a:rPr lang="en-US" b="0" baseline="0"/>
              <a:t> Consideration</a:t>
            </a:r>
            <a:endParaRPr lang="en-US" b="0"/>
          </a:p>
        </c:rich>
      </c:tx>
      <c:overlay val="0"/>
    </c:title>
    <c:autoTitleDeleted val="0"/>
    <c:plotArea>
      <c:layout/>
      <c:barChart>
        <c:barDir val="col"/>
        <c:grouping val="clustered"/>
        <c:varyColors val="0"/>
        <c:ser>
          <c:idx val="0"/>
          <c:order val="0"/>
          <c:invertIfNegative val="0"/>
          <c:dLbls>
            <c:dLblPos val="inEnd"/>
            <c:showLegendKey val="0"/>
            <c:showVal val="1"/>
            <c:showCatName val="0"/>
            <c:showSerName val="0"/>
            <c:showPercent val="0"/>
            <c:showBubbleSize val="0"/>
            <c:showLeaderLines val="0"/>
          </c:dLbls>
          <c:cat>
            <c:strRef>
              <c:f>considerations!$C$7:$C$12</c:f>
              <c:strCache>
                <c:ptCount val="6"/>
                <c:pt idx="0">
                  <c:v>Most Important        1</c:v>
                </c:pt>
                <c:pt idx="1">
                  <c:v>2</c:v>
                </c:pt>
                <c:pt idx="2">
                  <c:v>3</c:v>
                </c:pt>
                <c:pt idx="3">
                  <c:v>4</c:v>
                </c:pt>
                <c:pt idx="4">
                  <c:v>5</c:v>
                </c:pt>
                <c:pt idx="5">
                  <c:v>Least Important        6</c:v>
                </c:pt>
              </c:strCache>
            </c:strRef>
          </c:cat>
          <c:val>
            <c:numRef>
              <c:f>considerations!$D$7:$D$12</c:f>
              <c:numCache>
                <c:formatCode>0%</c:formatCode>
                <c:ptCount val="6"/>
                <c:pt idx="0">
                  <c:v>0.4</c:v>
                </c:pt>
                <c:pt idx="1">
                  <c:v>0.16</c:v>
                </c:pt>
                <c:pt idx="2">
                  <c:v>0.13</c:v>
                </c:pt>
                <c:pt idx="3">
                  <c:v>0.06</c:v>
                </c:pt>
                <c:pt idx="4">
                  <c:v>0.06</c:v>
                </c:pt>
                <c:pt idx="5">
                  <c:v>0.19</c:v>
                </c:pt>
              </c:numCache>
            </c:numRef>
          </c:val>
        </c:ser>
        <c:dLbls>
          <c:showLegendKey val="0"/>
          <c:showVal val="0"/>
          <c:showCatName val="0"/>
          <c:showSerName val="0"/>
          <c:showPercent val="0"/>
          <c:showBubbleSize val="0"/>
        </c:dLbls>
        <c:gapWidth val="75"/>
        <c:overlap val="40"/>
        <c:axId val="260319488"/>
        <c:axId val="260321280"/>
      </c:barChart>
      <c:catAx>
        <c:axId val="260319488"/>
        <c:scaling>
          <c:orientation val="minMax"/>
        </c:scaling>
        <c:delete val="0"/>
        <c:axPos val="b"/>
        <c:majorTickMark val="none"/>
        <c:minorTickMark val="none"/>
        <c:tickLblPos val="nextTo"/>
        <c:crossAx val="260321280"/>
        <c:crosses val="autoZero"/>
        <c:auto val="1"/>
        <c:lblAlgn val="ctr"/>
        <c:lblOffset val="100"/>
        <c:noMultiLvlLbl val="0"/>
      </c:catAx>
      <c:valAx>
        <c:axId val="260321280"/>
        <c:scaling>
          <c:orientation val="minMax"/>
        </c:scaling>
        <c:delete val="0"/>
        <c:axPos val="l"/>
        <c:majorGridlines/>
        <c:numFmt formatCode="0%" sourceLinked="1"/>
        <c:majorTickMark val="none"/>
        <c:minorTickMark val="none"/>
        <c:tickLblPos val="nextTo"/>
        <c:crossAx val="26031948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en-US" sz="1800" b="0" i="0" u="none" strike="noStrike" baseline="0">
                <a:effectLst/>
              </a:rPr>
              <a:t>Aesthetic design Consideration</a:t>
            </a:r>
            <a:r>
              <a:rPr lang="en-US" sz="1800" b="1" i="0" u="none" strike="noStrike" baseline="0">
                <a:effectLst/>
              </a:rPr>
              <a:t> </a:t>
            </a:r>
            <a:endParaRPr lang="en-US"/>
          </a:p>
        </c:rich>
      </c:tx>
      <c:overlay val="0"/>
    </c:title>
    <c:autoTitleDeleted val="0"/>
    <c:plotArea>
      <c:layout/>
      <c:barChart>
        <c:barDir val="col"/>
        <c:grouping val="clustered"/>
        <c:varyColors val="0"/>
        <c:ser>
          <c:idx val="0"/>
          <c:order val="0"/>
          <c:invertIfNegative val="0"/>
          <c:dLbls>
            <c:dLblPos val="inEnd"/>
            <c:showLegendKey val="0"/>
            <c:showVal val="1"/>
            <c:showCatName val="0"/>
            <c:showSerName val="0"/>
            <c:showPercent val="0"/>
            <c:showBubbleSize val="0"/>
            <c:showLeaderLines val="0"/>
          </c:dLbls>
          <c:cat>
            <c:strRef>
              <c:f>considerations!$C$29:$C$34</c:f>
              <c:strCache>
                <c:ptCount val="6"/>
                <c:pt idx="0">
                  <c:v>Most Important        1</c:v>
                </c:pt>
                <c:pt idx="1">
                  <c:v>2</c:v>
                </c:pt>
                <c:pt idx="2">
                  <c:v>3</c:v>
                </c:pt>
                <c:pt idx="3">
                  <c:v>4</c:v>
                </c:pt>
                <c:pt idx="4">
                  <c:v>5</c:v>
                </c:pt>
                <c:pt idx="5">
                  <c:v>Least Important        6</c:v>
                </c:pt>
              </c:strCache>
            </c:strRef>
          </c:cat>
          <c:val>
            <c:numRef>
              <c:f>considerations!$D$29:$D$34</c:f>
              <c:numCache>
                <c:formatCode>0%</c:formatCode>
                <c:ptCount val="6"/>
                <c:pt idx="0">
                  <c:v>0.22</c:v>
                </c:pt>
                <c:pt idx="1">
                  <c:v>0.21</c:v>
                </c:pt>
                <c:pt idx="2">
                  <c:v>0.21</c:v>
                </c:pt>
                <c:pt idx="3">
                  <c:v>0.1</c:v>
                </c:pt>
                <c:pt idx="4">
                  <c:v>0.14000000000000001</c:v>
                </c:pt>
                <c:pt idx="5">
                  <c:v>0.13</c:v>
                </c:pt>
              </c:numCache>
            </c:numRef>
          </c:val>
        </c:ser>
        <c:dLbls>
          <c:showLegendKey val="0"/>
          <c:showVal val="0"/>
          <c:showCatName val="0"/>
          <c:showSerName val="0"/>
          <c:showPercent val="0"/>
          <c:showBubbleSize val="0"/>
        </c:dLbls>
        <c:gapWidth val="75"/>
        <c:overlap val="40"/>
        <c:axId val="260337664"/>
        <c:axId val="260339200"/>
      </c:barChart>
      <c:catAx>
        <c:axId val="260337664"/>
        <c:scaling>
          <c:orientation val="minMax"/>
        </c:scaling>
        <c:delete val="0"/>
        <c:axPos val="b"/>
        <c:majorTickMark val="none"/>
        <c:minorTickMark val="none"/>
        <c:tickLblPos val="nextTo"/>
        <c:crossAx val="260339200"/>
        <c:crosses val="autoZero"/>
        <c:auto val="1"/>
        <c:lblAlgn val="ctr"/>
        <c:lblOffset val="100"/>
        <c:noMultiLvlLbl val="0"/>
      </c:catAx>
      <c:valAx>
        <c:axId val="260339200"/>
        <c:scaling>
          <c:orientation val="minMax"/>
        </c:scaling>
        <c:delete val="0"/>
        <c:axPos val="l"/>
        <c:majorGridlines/>
        <c:numFmt formatCode="0%" sourceLinked="1"/>
        <c:majorTickMark val="none"/>
        <c:minorTickMark val="none"/>
        <c:tickLblPos val="nextTo"/>
        <c:crossAx val="26033766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en-US" b="0"/>
              <a:t>Convinience Consideration </a:t>
            </a:r>
          </a:p>
        </c:rich>
      </c:tx>
      <c:overlay val="0"/>
    </c:title>
    <c:autoTitleDeleted val="0"/>
    <c:plotArea>
      <c:layout/>
      <c:barChart>
        <c:barDir val="col"/>
        <c:grouping val="clustered"/>
        <c:varyColors val="0"/>
        <c:ser>
          <c:idx val="0"/>
          <c:order val="0"/>
          <c:invertIfNegative val="0"/>
          <c:dLbls>
            <c:dLblPos val="inEnd"/>
            <c:showLegendKey val="0"/>
            <c:showVal val="1"/>
            <c:showCatName val="0"/>
            <c:showSerName val="0"/>
            <c:showPercent val="0"/>
            <c:showBubbleSize val="0"/>
            <c:showLeaderLines val="0"/>
          </c:dLbls>
          <c:cat>
            <c:strRef>
              <c:f>considerations!$C$43:$C$48</c:f>
              <c:strCache>
                <c:ptCount val="6"/>
                <c:pt idx="0">
                  <c:v>Most Important        1</c:v>
                </c:pt>
                <c:pt idx="1">
                  <c:v>2</c:v>
                </c:pt>
                <c:pt idx="2">
                  <c:v>3</c:v>
                </c:pt>
                <c:pt idx="3">
                  <c:v>4</c:v>
                </c:pt>
                <c:pt idx="4">
                  <c:v>5</c:v>
                </c:pt>
                <c:pt idx="5">
                  <c:v>Least Important        6</c:v>
                </c:pt>
              </c:strCache>
            </c:strRef>
          </c:cat>
          <c:val>
            <c:numRef>
              <c:f>considerations!$D$43:$D$48</c:f>
              <c:numCache>
                <c:formatCode>0%</c:formatCode>
                <c:ptCount val="6"/>
                <c:pt idx="0">
                  <c:v>0.08</c:v>
                </c:pt>
                <c:pt idx="1">
                  <c:v>0.14000000000000001</c:v>
                </c:pt>
                <c:pt idx="2">
                  <c:v>0.21</c:v>
                </c:pt>
                <c:pt idx="3">
                  <c:v>0.32</c:v>
                </c:pt>
                <c:pt idx="4">
                  <c:v>0.19</c:v>
                </c:pt>
                <c:pt idx="5">
                  <c:v>0.06</c:v>
                </c:pt>
              </c:numCache>
            </c:numRef>
          </c:val>
        </c:ser>
        <c:dLbls>
          <c:showLegendKey val="0"/>
          <c:showVal val="0"/>
          <c:showCatName val="0"/>
          <c:showSerName val="0"/>
          <c:showPercent val="0"/>
          <c:showBubbleSize val="0"/>
        </c:dLbls>
        <c:gapWidth val="75"/>
        <c:overlap val="40"/>
        <c:axId val="260351488"/>
        <c:axId val="260353024"/>
      </c:barChart>
      <c:catAx>
        <c:axId val="260351488"/>
        <c:scaling>
          <c:orientation val="minMax"/>
        </c:scaling>
        <c:delete val="0"/>
        <c:axPos val="b"/>
        <c:majorTickMark val="none"/>
        <c:minorTickMark val="none"/>
        <c:tickLblPos val="nextTo"/>
        <c:crossAx val="260353024"/>
        <c:crosses val="autoZero"/>
        <c:auto val="1"/>
        <c:lblAlgn val="ctr"/>
        <c:lblOffset val="100"/>
        <c:noMultiLvlLbl val="0"/>
      </c:catAx>
      <c:valAx>
        <c:axId val="260353024"/>
        <c:scaling>
          <c:orientation val="minMax"/>
        </c:scaling>
        <c:delete val="0"/>
        <c:axPos val="l"/>
        <c:majorGridlines/>
        <c:numFmt formatCode="0%" sourceLinked="1"/>
        <c:majorTickMark val="none"/>
        <c:minorTickMark val="none"/>
        <c:tickLblPos val="nextTo"/>
        <c:crossAx val="26035148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en-US"/>
              <a:t>Performance Consideration </a:t>
            </a:r>
          </a:p>
        </c:rich>
      </c:tx>
      <c:overlay val="0"/>
    </c:title>
    <c:autoTitleDeleted val="0"/>
    <c:plotArea>
      <c:layout/>
      <c:barChart>
        <c:barDir val="col"/>
        <c:grouping val="clustered"/>
        <c:varyColors val="0"/>
        <c:ser>
          <c:idx val="0"/>
          <c:order val="0"/>
          <c:invertIfNegative val="0"/>
          <c:dLbls>
            <c:dLblPos val="inEnd"/>
            <c:showLegendKey val="0"/>
            <c:showVal val="1"/>
            <c:showCatName val="0"/>
            <c:showSerName val="0"/>
            <c:showPercent val="0"/>
            <c:showBubbleSize val="0"/>
            <c:showLeaderLines val="0"/>
          </c:dLbls>
          <c:cat>
            <c:strRef>
              <c:f>considerations!$C$57:$C$62</c:f>
              <c:strCache>
                <c:ptCount val="6"/>
                <c:pt idx="0">
                  <c:v>Most Important        1</c:v>
                </c:pt>
                <c:pt idx="1">
                  <c:v>2</c:v>
                </c:pt>
                <c:pt idx="2">
                  <c:v>3</c:v>
                </c:pt>
                <c:pt idx="3">
                  <c:v>4</c:v>
                </c:pt>
                <c:pt idx="4">
                  <c:v>5</c:v>
                </c:pt>
                <c:pt idx="5">
                  <c:v>Least Important        6</c:v>
                </c:pt>
              </c:strCache>
            </c:strRef>
          </c:cat>
          <c:val>
            <c:numRef>
              <c:f>considerations!$D$57:$D$62</c:f>
              <c:numCache>
                <c:formatCode>0%</c:formatCode>
                <c:ptCount val="6"/>
                <c:pt idx="0">
                  <c:v>0.11</c:v>
                </c:pt>
                <c:pt idx="1">
                  <c:v>0.25</c:v>
                </c:pt>
                <c:pt idx="2">
                  <c:v>0.28999999999999998</c:v>
                </c:pt>
                <c:pt idx="3">
                  <c:v>0.24</c:v>
                </c:pt>
                <c:pt idx="4">
                  <c:v>0.08</c:v>
                </c:pt>
                <c:pt idx="5">
                  <c:v>0.03</c:v>
                </c:pt>
              </c:numCache>
            </c:numRef>
          </c:val>
        </c:ser>
        <c:dLbls>
          <c:showLegendKey val="0"/>
          <c:showVal val="0"/>
          <c:showCatName val="0"/>
          <c:showSerName val="0"/>
          <c:showPercent val="0"/>
          <c:showBubbleSize val="0"/>
        </c:dLbls>
        <c:gapWidth val="75"/>
        <c:overlap val="40"/>
        <c:axId val="260361216"/>
        <c:axId val="260371200"/>
      </c:barChart>
      <c:catAx>
        <c:axId val="260361216"/>
        <c:scaling>
          <c:orientation val="minMax"/>
        </c:scaling>
        <c:delete val="0"/>
        <c:axPos val="b"/>
        <c:majorTickMark val="none"/>
        <c:minorTickMark val="none"/>
        <c:tickLblPos val="nextTo"/>
        <c:crossAx val="260371200"/>
        <c:crosses val="autoZero"/>
        <c:auto val="1"/>
        <c:lblAlgn val="ctr"/>
        <c:lblOffset val="100"/>
        <c:noMultiLvlLbl val="0"/>
      </c:catAx>
      <c:valAx>
        <c:axId val="260371200"/>
        <c:scaling>
          <c:orientation val="minMax"/>
        </c:scaling>
        <c:delete val="0"/>
        <c:axPos val="l"/>
        <c:majorGridlines/>
        <c:numFmt formatCode="0%" sourceLinked="1"/>
        <c:majorTickMark val="none"/>
        <c:minorTickMark val="none"/>
        <c:tickLblPos val="nextTo"/>
        <c:crossAx val="260361216"/>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en-US" b="0"/>
              <a:t>Factor</a:t>
            </a:r>
            <a:r>
              <a:rPr lang="en-US" b="0" baseline="0"/>
              <a:t> Ratings </a:t>
            </a:r>
            <a:endParaRPr lang="en-US" b="0"/>
          </a:p>
        </c:rich>
      </c:tx>
      <c:overlay val="0"/>
    </c:title>
    <c:autoTitleDeleted val="0"/>
    <c:plotArea>
      <c:layout/>
      <c:barChart>
        <c:barDir val="col"/>
        <c:grouping val="clustered"/>
        <c:varyColors val="0"/>
        <c:ser>
          <c:idx val="0"/>
          <c:order val="0"/>
          <c:invertIfNegative val="0"/>
          <c:dLbls>
            <c:dLblPos val="inEnd"/>
            <c:showLegendKey val="0"/>
            <c:showVal val="1"/>
            <c:showCatName val="0"/>
            <c:showSerName val="0"/>
            <c:showPercent val="0"/>
            <c:showBubbleSize val="0"/>
            <c:showLeaderLines val="0"/>
          </c:dLbls>
          <c:cat>
            <c:strRef>
              <c:f>considerations!$C$75:$C$78</c:f>
              <c:strCache>
                <c:ptCount val="4"/>
                <c:pt idx="0">
                  <c:v>Price Consideration </c:v>
                </c:pt>
                <c:pt idx="1">
                  <c:v>Aesthentic Design consideration </c:v>
                </c:pt>
                <c:pt idx="2">
                  <c:v>Car Performance Consideration </c:v>
                </c:pt>
                <c:pt idx="3">
                  <c:v>Convinience Consideration </c:v>
                </c:pt>
              </c:strCache>
            </c:strRef>
          </c:cat>
          <c:val>
            <c:numRef>
              <c:f>considerations!$D$75:$D$78</c:f>
              <c:numCache>
                <c:formatCode>0%</c:formatCode>
                <c:ptCount val="4"/>
                <c:pt idx="0">
                  <c:v>0.4</c:v>
                </c:pt>
                <c:pt idx="1">
                  <c:v>0.22</c:v>
                </c:pt>
                <c:pt idx="2">
                  <c:v>0.28999999999999998</c:v>
                </c:pt>
                <c:pt idx="3">
                  <c:v>0.32</c:v>
                </c:pt>
              </c:numCache>
            </c:numRef>
          </c:val>
        </c:ser>
        <c:dLbls>
          <c:showLegendKey val="0"/>
          <c:showVal val="0"/>
          <c:showCatName val="0"/>
          <c:showSerName val="0"/>
          <c:showPercent val="0"/>
          <c:showBubbleSize val="0"/>
        </c:dLbls>
        <c:gapWidth val="75"/>
        <c:overlap val="40"/>
        <c:axId val="268141312"/>
        <c:axId val="268142848"/>
      </c:barChart>
      <c:catAx>
        <c:axId val="268141312"/>
        <c:scaling>
          <c:orientation val="minMax"/>
        </c:scaling>
        <c:delete val="0"/>
        <c:axPos val="b"/>
        <c:majorTickMark val="none"/>
        <c:minorTickMark val="none"/>
        <c:tickLblPos val="nextTo"/>
        <c:crossAx val="268142848"/>
        <c:crosses val="autoZero"/>
        <c:auto val="1"/>
        <c:lblAlgn val="ctr"/>
        <c:lblOffset val="100"/>
        <c:noMultiLvlLbl val="0"/>
      </c:catAx>
      <c:valAx>
        <c:axId val="268142848"/>
        <c:scaling>
          <c:orientation val="minMax"/>
        </c:scaling>
        <c:delete val="0"/>
        <c:axPos val="l"/>
        <c:majorGridlines/>
        <c:numFmt formatCode="0%" sourceLinked="1"/>
        <c:majorTickMark val="none"/>
        <c:minorTickMark val="none"/>
        <c:tickLblPos val="nextTo"/>
        <c:crossAx val="26814131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7</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Users</cp:lastModifiedBy>
  <cp:revision>97</cp:revision>
  <dcterms:created xsi:type="dcterms:W3CDTF">2019-12-02T22:49:00Z</dcterms:created>
  <dcterms:modified xsi:type="dcterms:W3CDTF">2019-12-03T00:40:00Z</dcterms:modified>
</cp:coreProperties>
</file>