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C7" w:rsidRPr="00C94AC3" w:rsidRDefault="00A35812" w:rsidP="00C94AC3">
      <w:pPr>
        <w:spacing w:line="480" w:lineRule="auto"/>
        <w:jc w:val="center"/>
        <w:rPr>
          <w:rFonts w:ascii="Times New Roman" w:hAnsi="Times New Roman" w:cs="Times New Roman"/>
          <w:sz w:val="24"/>
          <w:szCs w:val="24"/>
        </w:rPr>
      </w:pPr>
      <w:r w:rsidRPr="00C94AC3">
        <w:rPr>
          <w:rFonts w:ascii="Times New Roman" w:hAnsi="Times New Roman" w:cs="Times New Roman"/>
          <w:sz w:val="24"/>
          <w:szCs w:val="24"/>
        </w:rPr>
        <w:t>IT Governance Policies and Procedures</w:t>
      </w:r>
    </w:p>
    <w:p w:rsidR="00C94AC3" w:rsidRPr="00C94AC3" w:rsidRDefault="00A35812" w:rsidP="00C94AC3">
      <w:pPr>
        <w:spacing w:line="480" w:lineRule="auto"/>
        <w:jc w:val="center"/>
        <w:rPr>
          <w:rFonts w:ascii="Times New Roman" w:hAnsi="Times New Roman" w:cs="Times New Roman"/>
          <w:sz w:val="24"/>
          <w:szCs w:val="24"/>
        </w:rPr>
      </w:pPr>
      <w:r w:rsidRPr="00C94AC3">
        <w:rPr>
          <w:rFonts w:ascii="Times New Roman" w:hAnsi="Times New Roman" w:cs="Times New Roman"/>
          <w:sz w:val="24"/>
          <w:szCs w:val="24"/>
        </w:rPr>
        <w:t>Name</w:t>
      </w:r>
    </w:p>
    <w:p w:rsidR="00C94AC3" w:rsidRPr="00C94AC3" w:rsidRDefault="00A35812" w:rsidP="00C94AC3">
      <w:pPr>
        <w:spacing w:line="480" w:lineRule="auto"/>
        <w:jc w:val="center"/>
        <w:rPr>
          <w:rFonts w:ascii="Times New Roman" w:hAnsi="Times New Roman" w:cs="Times New Roman"/>
          <w:sz w:val="24"/>
          <w:szCs w:val="24"/>
        </w:rPr>
      </w:pPr>
      <w:r w:rsidRPr="00C94AC3">
        <w:rPr>
          <w:rFonts w:ascii="Times New Roman" w:hAnsi="Times New Roman" w:cs="Times New Roman"/>
          <w:sz w:val="24"/>
          <w:szCs w:val="24"/>
        </w:rPr>
        <w:t>Professor</w:t>
      </w:r>
    </w:p>
    <w:p w:rsidR="00C94AC3" w:rsidRDefault="00A35812" w:rsidP="00C94AC3">
      <w:pPr>
        <w:spacing w:line="480" w:lineRule="auto"/>
        <w:jc w:val="center"/>
        <w:rPr>
          <w:rFonts w:ascii="Times New Roman" w:hAnsi="Times New Roman" w:cs="Times New Roman"/>
          <w:sz w:val="24"/>
          <w:szCs w:val="24"/>
        </w:rPr>
      </w:pPr>
      <w:r w:rsidRPr="00C94AC3">
        <w:rPr>
          <w:rFonts w:ascii="Times New Roman" w:hAnsi="Times New Roman" w:cs="Times New Roman"/>
          <w:sz w:val="24"/>
          <w:szCs w:val="24"/>
        </w:rPr>
        <w:t>Date</w:t>
      </w: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p w:rsidR="00C94AC3" w:rsidRDefault="00C94AC3" w:rsidP="00C94AC3">
      <w:pPr>
        <w:spacing w:line="480" w:lineRule="auto"/>
        <w:jc w:val="center"/>
        <w:rPr>
          <w:rFonts w:ascii="Times New Roman" w:hAnsi="Times New Roman" w:cs="Times New Roman"/>
          <w:sz w:val="24"/>
          <w:szCs w:val="24"/>
        </w:rPr>
      </w:pPr>
    </w:p>
    <w:sdt>
      <w:sdtPr>
        <w:id w:val="211485852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BF7ED7" w:rsidRPr="00BF7ED7" w:rsidRDefault="00BF7ED7" w:rsidP="00BF7ED7">
          <w:pPr>
            <w:pStyle w:val="TOCHeading"/>
            <w:spacing w:line="480" w:lineRule="auto"/>
            <w:rPr>
              <w:rFonts w:ascii="Times New Roman" w:hAnsi="Times New Roman" w:cs="Times New Roman"/>
              <w:sz w:val="24"/>
              <w:szCs w:val="24"/>
            </w:rPr>
          </w:pPr>
          <w:r w:rsidRPr="00BF7ED7">
            <w:rPr>
              <w:rFonts w:ascii="Times New Roman" w:hAnsi="Times New Roman" w:cs="Times New Roman"/>
              <w:sz w:val="24"/>
              <w:szCs w:val="24"/>
            </w:rPr>
            <w:t>Contents</w:t>
          </w:r>
        </w:p>
        <w:p w:rsidR="00BF7ED7" w:rsidRPr="00BF7ED7" w:rsidRDefault="00BF7ED7" w:rsidP="00BF7ED7">
          <w:pPr>
            <w:pStyle w:val="TOC1"/>
            <w:tabs>
              <w:tab w:val="right" w:leader="dot" w:pos="9350"/>
            </w:tabs>
            <w:spacing w:line="480" w:lineRule="auto"/>
            <w:rPr>
              <w:rFonts w:ascii="Times New Roman" w:hAnsi="Times New Roman" w:cs="Times New Roman"/>
              <w:noProof/>
              <w:sz w:val="24"/>
              <w:szCs w:val="24"/>
            </w:rPr>
          </w:pPr>
          <w:r w:rsidRPr="00BF7ED7">
            <w:rPr>
              <w:rFonts w:ascii="Times New Roman" w:hAnsi="Times New Roman" w:cs="Times New Roman"/>
              <w:sz w:val="24"/>
              <w:szCs w:val="24"/>
            </w:rPr>
            <w:fldChar w:fldCharType="begin"/>
          </w:r>
          <w:r w:rsidRPr="00BF7ED7">
            <w:rPr>
              <w:rFonts w:ascii="Times New Roman" w:hAnsi="Times New Roman" w:cs="Times New Roman"/>
              <w:sz w:val="24"/>
              <w:szCs w:val="24"/>
            </w:rPr>
            <w:instrText xml:space="preserve"> TOC \o "1-3" \h \z \u </w:instrText>
          </w:r>
          <w:r w:rsidRPr="00BF7ED7">
            <w:rPr>
              <w:rFonts w:ascii="Times New Roman" w:hAnsi="Times New Roman" w:cs="Times New Roman"/>
              <w:sz w:val="24"/>
              <w:szCs w:val="24"/>
            </w:rPr>
            <w:fldChar w:fldCharType="separate"/>
          </w:r>
          <w:hyperlink w:anchor="_Toc2699181" w:history="1">
            <w:r w:rsidRPr="00BF7ED7">
              <w:rPr>
                <w:rStyle w:val="Hyperlink"/>
                <w:rFonts w:ascii="Times New Roman" w:hAnsi="Times New Roman" w:cs="Times New Roman"/>
                <w:noProof/>
                <w:sz w:val="24"/>
                <w:szCs w:val="24"/>
              </w:rPr>
              <w:t>IT Governance Policies and Procedures Manual Title Page</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_Toc2699181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3</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1"/>
            <w:tabs>
              <w:tab w:val="right" w:leader="dot" w:pos="9350"/>
            </w:tabs>
            <w:spacing w:line="480" w:lineRule="auto"/>
            <w:rPr>
              <w:rFonts w:ascii="Times New Roman" w:hAnsi="Times New Roman" w:cs="Times New Roman"/>
              <w:noProof/>
              <w:sz w:val="24"/>
              <w:szCs w:val="24"/>
            </w:rPr>
          </w:pPr>
          <w:hyperlink w:anchor="_Toc2699182" w:history="1">
            <w:r w:rsidRPr="00BF7ED7">
              <w:rPr>
                <w:rStyle w:val="Hyperlink"/>
                <w:rFonts w:ascii="Times New Roman" w:hAnsi="Times New Roman" w:cs="Times New Roman"/>
                <w:noProof/>
                <w:sz w:val="24"/>
                <w:szCs w:val="24"/>
              </w:rPr>
              <w:t>Business and IT Goals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_Toc2699182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4</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3" w:history="1">
            <w:r w:rsidRPr="00BF7ED7">
              <w:rPr>
                <w:rStyle w:val="Hyperlink"/>
                <w:rFonts w:ascii="Times New Roman" w:hAnsi="Times New Roman" w:cs="Times New Roman"/>
                <w:noProof/>
                <w:sz w:val="24"/>
                <w:szCs w:val="24"/>
              </w:rPr>
              <w:t>Business Goals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_Toc2699183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4</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4" w:history="1">
            <w:r w:rsidRPr="00BF7ED7">
              <w:rPr>
                <w:rStyle w:val="Hyperlink"/>
                <w:rFonts w:ascii="Times New Roman" w:hAnsi="Times New Roman" w:cs="Times New Roman"/>
                <w:noProof/>
                <w:sz w:val="24"/>
                <w:szCs w:val="24"/>
              </w:rPr>
              <w:t>IT Goals to Support the above Business Goals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_Toc2699184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5</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5" w:history="1">
            <w:r w:rsidRPr="00BF7ED7">
              <w:rPr>
                <w:rStyle w:val="Hyperlink"/>
                <w:rFonts w:ascii="Times New Roman" w:hAnsi="Times New Roman" w:cs="Times New Roman"/>
                <w:noProof/>
                <w:sz w:val="24"/>
                <w:szCs w:val="24"/>
              </w:rPr>
              <w:t>Conflicts between the two Sets of Goals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_Toc2699185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5</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1"/>
            <w:tabs>
              <w:tab w:val="right" w:leader="dot" w:pos="9350"/>
            </w:tabs>
            <w:spacing w:line="480" w:lineRule="auto"/>
            <w:rPr>
              <w:rFonts w:ascii="Times New Roman" w:hAnsi="Times New Roman" w:cs="Times New Roman"/>
              <w:noProof/>
              <w:sz w:val="24"/>
              <w:szCs w:val="24"/>
            </w:rPr>
          </w:pPr>
          <w:hyperlink w:anchor="_Toc2699186" w:history="1">
            <w:r w:rsidRPr="00BF7ED7">
              <w:rPr>
                <w:rStyle w:val="Hyperlink"/>
                <w:rFonts w:ascii="Times New Roman" w:hAnsi="Times New Roman" w:cs="Times New Roman"/>
                <w:noProof/>
                <w:sz w:val="24"/>
                <w:szCs w:val="24"/>
              </w:rPr>
              <w:t>Information Technology Governance and Information Security Governance</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_Toc2699186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6</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7" w:history="1">
            <w:r w:rsidRPr="00BF7ED7">
              <w:rPr>
                <w:rStyle w:val="Hyperlink"/>
                <w:rFonts w:ascii="Times New Roman" w:hAnsi="Times New Roman" w:cs="Times New Roman"/>
                <w:noProof/>
                <w:sz w:val="24"/>
                <w:szCs w:val="24"/>
              </w:rPr>
              <w:t>Summary</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_Toc2699187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6</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8" w:history="1">
            <w:r w:rsidRPr="00BF7ED7">
              <w:rPr>
                <w:rStyle w:val="Hyperlink"/>
                <w:rFonts w:ascii="Times New Roman" w:hAnsi="Times New Roman" w:cs="Times New Roman"/>
                <w:noProof/>
                <w:sz w:val="24"/>
                <w:szCs w:val="24"/>
              </w:rPr>
              <w:t>Similarities and Differences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_Toc2699188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6</w:t>
            </w:r>
            <w:r w:rsidRPr="00BF7ED7">
              <w:rPr>
                <w:rFonts w:ascii="Times New Roman" w:hAnsi="Times New Roman" w:cs="Times New Roman"/>
                <w:noProof/>
                <w:webHidden/>
                <w:sz w:val="24"/>
                <w:szCs w:val="24"/>
              </w:rPr>
              <w:fldChar w:fldCharType="end"/>
            </w:r>
          </w:hyperlink>
        </w:p>
        <w:p w:rsidR="00BF7ED7" w:rsidRPr="00BF7ED7" w:rsidRDefault="00BF7ED7" w:rsidP="00BF7ED7">
          <w:pPr>
            <w:pStyle w:val="TOC2"/>
            <w:tabs>
              <w:tab w:val="right" w:leader="dot" w:pos="9350"/>
            </w:tabs>
            <w:spacing w:line="480" w:lineRule="auto"/>
            <w:rPr>
              <w:rFonts w:ascii="Times New Roman" w:hAnsi="Times New Roman" w:cs="Times New Roman"/>
              <w:noProof/>
              <w:sz w:val="24"/>
              <w:szCs w:val="24"/>
            </w:rPr>
          </w:pPr>
          <w:hyperlink w:anchor="_Toc2699189" w:history="1">
            <w:r w:rsidRPr="00BF7ED7">
              <w:rPr>
                <w:rStyle w:val="Hyperlink"/>
                <w:rFonts w:ascii="Times New Roman" w:hAnsi="Times New Roman" w:cs="Times New Roman"/>
                <w:noProof/>
                <w:sz w:val="24"/>
                <w:szCs w:val="24"/>
              </w:rPr>
              <w:t>Regulatory Requirements</w:t>
            </w:r>
            <w:r w:rsidRPr="00BF7ED7">
              <w:rPr>
                <w:rFonts w:ascii="Times New Roman" w:hAnsi="Times New Roman" w:cs="Times New Roman"/>
                <w:noProof/>
                <w:webHidden/>
                <w:sz w:val="24"/>
                <w:szCs w:val="24"/>
              </w:rPr>
              <w:tab/>
            </w:r>
            <w:r w:rsidRPr="00BF7ED7">
              <w:rPr>
                <w:rFonts w:ascii="Times New Roman" w:hAnsi="Times New Roman" w:cs="Times New Roman"/>
                <w:noProof/>
                <w:webHidden/>
                <w:sz w:val="24"/>
                <w:szCs w:val="24"/>
              </w:rPr>
              <w:fldChar w:fldCharType="begin"/>
            </w:r>
            <w:r w:rsidRPr="00BF7ED7">
              <w:rPr>
                <w:rFonts w:ascii="Times New Roman" w:hAnsi="Times New Roman" w:cs="Times New Roman"/>
                <w:noProof/>
                <w:webHidden/>
                <w:sz w:val="24"/>
                <w:szCs w:val="24"/>
              </w:rPr>
              <w:instrText xml:space="preserve"> PAGEREF _Toc2699189 \h </w:instrText>
            </w:r>
            <w:r w:rsidRPr="00BF7ED7">
              <w:rPr>
                <w:rFonts w:ascii="Times New Roman" w:hAnsi="Times New Roman" w:cs="Times New Roman"/>
                <w:noProof/>
                <w:webHidden/>
                <w:sz w:val="24"/>
                <w:szCs w:val="24"/>
              </w:rPr>
            </w:r>
            <w:r w:rsidRPr="00BF7ED7">
              <w:rPr>
                <w:rFonts w:ascii="Times New Roman" w:hAnsi="Times New Roman" w:cs="Times New Roman"/>
                <w:noProof/>
                <w:webHidden/>
                <w:sz w:val="24"/>
                <w:szCs w:val="24"/>
              </w:rPr>
              <w:fldChar w:fldCharType="separate"/>
            </w:r>
            <w:r w:rsidRPr="00BF7ED7">
              <w:rPr>
                <w:rFonts w:ascii="Times New Roman" w:hAnsi="Times New Roman" w:cs="Times New Roman"/>
                <w:noProof/>
                <w:webHidden/>
                <w:sz w:val="24"/>
                <w:szCs w:val="24"/>
              </w:rPr>
              <w:t>6</w:t>
            </w:r>
            <w:r w:rsidRPr="00BF7ED7">
              <w:rPr>
                <w:rFonts w:ascii="Times New Roman" w:hAnsi="Times New Roman" w:cs="Times New Roman"/>
                <w:noProof/>
                <w:webHidden/>
                <w:sz w:val="24"/>
                <w:szCs w:val="24"/>
              </w:rPr>
              <w:fldChar w:fldCharType="end"/>
            </w:r>
          </w:hyperlink>
        </w:p>
        <w:p w:rsidR="00BF7ED7" w:rsidRDefault="00BF7ED7" w:rsidP="00BF7ED7">
          <w:pPr>
            <w:spacing w:line="480" w:lineRule="auto"/>
          </w:pPr>
          <w:r w:rsidRPr="00BF7ED7">
            <w:rPr>
              <w:rFonts w:ascii="Times New Roman" w:hAnsi="Times New Roman" w:cs="Times New Roman"/>
              <w:b/>
              <w:bCs/>
              <w:noProof/>
              <w:sz w:val="24"/>
              <w:szCs w:val="24"/>
            </w:rPr>
            <w:fldChar w:fldCharType="end"/>
          </w:r>
        </w:p>
      </w:sdtContent>
    </w:sdt>
    <w:p w:rsidR="00C94AC3" w:rsidRDefault="00C94AC3" w:rsidP="00BF7ED7">
      <w:pPr>
        <w:spacing w:line="480" w:lineRule="auto"/>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962B64">
      <w:pPr>
        <w:spacing w:line="480" w:lineRule="auto"/>
        <w:jc w:val="center"/>
        <w:rPr>
          <w:rFonts w:ascii="Times New Roman" w:hAnsi="Times New Roman" w:cs="Times New Roman"/>
          <w:sz w:val="24"/>
          <w:szCs w:val="24"/>
        </w:rPr>
      </w:pPr>
    </w:p>
    <w:p w:rsidR="00BF7ED7" w:rsidRDefault="00BF7ED7" w:rsidP="00BF7ED7">
      <w:pPr>
        <w:spacing w:line="480" w:lineRule="auto"/>
        <w:rPr>
          <w:rFonts w:ascii="Times New Roman" w:hAnsi="Times New Roman" w:cs="Times New Roman"/>
          <w:sz w:val="24"/>
          <w:szCs w:val="24"/>
        </w:rPr>
      </w:pPr>
    </w:p>
    <w:p w:rsidR="00C94AC3" w:rsidRDefault="00A35812" w:rsidP="00BF7ED7">
      <w:pPr>
        <w:pStyle w:val="Heading1"/>
        <w:jc w:val="center"/>
        <w:rPr>
          <w:rFonts w:ascii="Times New Roman" w:hAnsi="Times New Roman" w:cs="Times New Roman"/>
        </w:rPr>
      </w:pPr>
      <w:bookmarkStart w:id="0" w:name="_Toc2699181"/>
      <w:r w:rsidRPr="00BF7ED7">
        <w:rPr>
          <w:rFonts w:ascii="Times New Roman" w:hAnsi="Times New Roman" w:cs="Times New Roman"/>
        </w:rPr>
        <w:lastRenderedPageBreak/>
        <w:t>IT Governance Policies and Procedures Manual</w:t>
      </w:r>
      <w:r w:rsidR="00962B64" w:rsidRPr="00BF7ED7">
        <w:rPr>
          <w:rFonts w:ascii="Times New Roman" w:hAnsi="Times New Roman" w:cs="Times New Roman"/>
        </w:rPr>
        <w:t xml:space="preserve"> Title Page</w:t>
      </w:r>
      <w:bookmarkEnd w:id="0"/>
    </w:p>
    <w:p w:rsidR="00BF7ED7" w:rsidRPr="00BF7ED7" w:rsidRDefault="00BF7ED7" w:rsidP="00BF7ED7">
      <w:bookmarkStart w:id="1" w:name="_GoBack"/>
      <w:bookmarkEnd w:id="1"/>
    </w:p>
    <w:p w:rsidR="00962B64" w:rsidRPr="00962B64" w:rsidRDefault="00A35812" w:rsidP="00962B64">
      <w:pPr>
        <w:spacing w:line="480" w:lineRule="auto"/>
        <w:rPr>
          <w:rFonts w:ascii="Times New Roman" w:hAnsi="Times New Roman" w:cs="Times New Roman"/>
          <w:sz w:val="24"/>
          <w:szCs w:val="24"/>
        </w:rPr>
      </w:pPr>
      <w:r w:rsidRPr="00962B64">
        <w:rPr>
          <w:rFonts w:ascii="Times New Roman" w:hAnsi="Times New Roman" w:cs="Times New Roman"/>
          <w:b/>
          <w:bCs/>
          <w:i/>
          <w:iCs/>
          <w:sz w:val="24"/>
          <w:szCs w:val="24"/>
        </w:rPr>
        <w:t>IT Governance: Policies &amp; Procedures</w:t>
      </w:r>
      <w:r w:rsidR="009B7129">
        <w:rPr>
          <w:rFonts w:ascii="Times New Roman" w:hAnsi="Times New Roman" w:cs="Times New Roman"/>
          <w:b/>
          <w:bCs/>
          <w:i/>
          <w:iCs/>
          <w:sz w:val="24"/>
          <w:szCs w:val="24"/>
        </w:rPr>
        <w:t xml:space="preserve"> Manual</w:t>
      </w:r>
      <w:r w:rsidRPr="00962B64">
        <w:rPr>
          <w:rFonts w:ascii="Times New Roman" w:hAnsi="Times New Roman" w:cs="Times New Roman"/>
          <w:b/>
          <w:bCs/>
          <w:i/>
          <w:iCs/>
          <w:sz w:val="24"/>
          <w:szCs w:val="24"/>
        </w:rPr>
        <w:t>, 2019 Edition </w:t>
      </w:r>
      <w:r w:rsidRPr="00962B64">
        <w:rPr>
          <w:rFonts w:ascii="Times New Roman" w:hAnsi="Times New Roman" w:cs="Times New Roman"/>
          <w:sz w:val="24"/>
          <w:szCs w:val="24"/>
        </w:rPr>
        <w:t xml:space="preserve">is the </w:t>
      </w:r>
      <w:r>
        <w:rPr>
          <w:rFonts w:ascii="Times New Roman" w:hAnsi="Times New Roman" w:cs="Times New Roman"/>
          <w:sz w:val="24"/>
          <w:szCs w:val="24"/>
        </w:rPr>
        <w:t xml:space="preserve">PMG Company’s </w:t>
      </w:r>
      <w:r w:rsidR="009B7129">
        <w:rPr>
          <w:rFonts w:ascii="Times New Roman" w:hAnsi="Times New Roman" w:cs="Times New Roman"/>
          <w:sz w:val="24"/>
          <w:szCs w:val="24"/>
        </w:rPr>
        <w:t>apex reference tool used for decision-making to help the company in devising</w:t>
      </w:r>
      <w:r w:rsidRPr="00962B64">
        <w:rPr>
          <w:rFonts w:ascii="Times New Roman" w:hAnsi="Times New Roman" w:cs="Times New Roman"/>
          <w:sz w:val="24"/>
          <w:szCs w:val="24"/>
        </w:rPr>
        <w:t xml:space="preserve"> an information systems policy and procedure program uniquel</w:t>
      </w:r>
      <w:r w:rsidR="009B7129">
        <w:rPr>
          <w:rFonts w:ascii="Times New Roman" w:hAnsi="Times New Roman" w:cs="Times New Roman"/>
          <w:sz w:val="24"/>
          <w:szCs w:val="24"/>
        </w:rPr>
        <w:t xml:space="preserve">y tailored to the needs of the </w:t>
      </w:r>
      <w:r w:rsidRPr="00962B64">
        <w:rPr>
          <w:rFonts w:ascii="Times New Roman" w:hAnsi="Times New Roman" w:cs="Times New Roman"/>
          <w:sz w:val="24"/>
          <w:szCs w:val="24"/>
        </w:rPr>
        <w:t>organization.</w:t>
      </w:r>
    </w:p>
    <w:p w:rsidR="009B7129" w:rsidRDefault="00A35812" w:rsidP="00962B64">
      <w:pPr>
        <w:spacing w:line="480" w:lineRule="auto"/>
        <w:rPr>
          <w:rFonts w:ascii="Times New Roman" w:hAnsi="Times New Roman" w:cs="Times New Roman"/>
          <w:sz w:val="24"/>
          <w:szCs w:val="24"/>
        </w:rPr>
      </w:pPr>
      <w:r>
        <w:rPr>
          <w:rFonts w:ascii="Times New Roman" w:hAnsi="Times New Roman" w:cs="Times New Roman"/>
          <w:sz w:val="24"/>
          <w:szCs w:val="24"/>
        </w:rPr>
        <w:t>Other than</w:t>
      </w:r>
      <w:r w:rsidR="00962B64" w:rsidRPr="00962B64">
        <w:rPr>
          <w:rFonts w:ascii="Times New Roman" w:hAnsi="Times New Roman" w:cs="Times New Roman"/>
          <w:sz w:val="24"/>
          <w:szCs w:val="24"/>
        </w:rPr>
        <w:t xml:space="preserve"> </w:t>
      </w:r>
      <w:r>
        <w:rPr>
          <w:rFonts w:ascii="Times New Roman" w:hAnsi="Times New Roman" w:cs="Times New Roman"/>
          <w:sz w:val="24"/>
          <w:szCs w:val="24"/>
        </w:rPr>
        <w:t>extensive</w:t>
      </w:r>
      <w:r w:rsidR="00962B64" w:rsidRPr="00962B64">
        <w:rPr>
          <w:rFonts w:ascii="Times New Roman" w:hAnsi="Times New Roman" w:cs="Times New Roman"/>
          <w:sz w:val="24"/>
          <w:szCs w:val="24"/>
        </w:rPr>
        <w:t xml:space="preserve"> policies</w:t>
      </w:r>
      <w:r>
        <w:rPr>
          <w:rFonts w:ascii="Times New Roman" w:hAnsi="Times New Roman" w:cs="Times New Roman"/>
          <w:sz w:val="24"/>
          <w:szCs w:val="24"/>
        </w:rPr>
        <w:t xml:space="preserve"> it provides</w:t>
      </w:r>
      <w:r w:rsidR="00962B64" w:rsidRPr="00962B64">
        <w:rPr>
          <w:rFonts w:ascii="Times New Roman" w:hAnsi="Times New Roman" w:cs="Times New Roman"/>
          <w:sz w:val="24"/>
          <w:szCs w:val="24"/>
        </w:rPr>
        <w:t xml:space="preserve">, </w:t>
      </w:r>
      <w:r>
        <w:rPr>
          <w:rFonts w:ascii="Times New Roman" w:hAnsi="Times New Roman" w:cs="Times New Roman"/>
          <w:sz w:val="24"/>
          <w:szCs w:val="24"/>
        </w:rPr>
        <w:t>it is also</w:t>
      </w:r>
      <w:r w:rsidR="00962B64" w:rsidRPr="00962B64">
        <w:rPr>
          <w:rFonts w:ascii="Times New Roman" w:hAnsi="Times New Roman" w:cs="Times New Roman"/>
          <w:sz w:val="24"/>
          <w:szCs w:val="24"/>
        </w:rPr>
        <w:t xml:space="preserve"> a valuable resource </w:t>
      </w:r>
      <w:r>
        <w:rPr>
          <w:rFonts w:ascii="Times New Roman" w:hAnsi="Times New Roman" w:cs="Times New Roman"/>
          <w:sz w:val="24"/>
          <w:szCs w:val="24"/>
        </w:rPr>
        <w:t>that often issu</w:t>
      </w:r>
      <w:r>
        <w:rPr>
          <w:rFonts w:ascii="Times New Roman" w:hAnsi="Times New Roman" w:cs="Times New Roman"/>
          <w:sz w:val="24"/>
          <w:szCs w:val="24"/>
        </w:rPr>
        <w:t>es</w:t>
      </w:r>
      <w:r w:rsidR="00962B64" w:rsidRPr="00962B64">
        <w:rPr>
          <w:rFonts w:ascii="Times New Roman" w:hAnsi="Times New Roman" w:cs="Times New Roman"/>
          <w:sz w:val="24"/>
          <w:szCs w:val="24"/>
        </w:rPr>
        <w:t xml:space="preserve"> </w:t>
      </w:r>
      <w:r>
        <w:rPr>
          <w:rFonts w:ascii="Times New Roman" w:hAnsi="Times New Roman" w:cs="Times New Roman"/>
          <w:sz w:val="24"/>
          <w:szCs w:val="24"/>
        </w:rPr>
        <w:t>information an individual may be in</w:t>
      </w:r>
      <w:r w:rsidR="00962B64" w:rsidRPr="00962B64">
        <w:rPr>
          <w:rFonts w:ascii="Times New Roman" w:hAnsi="Times New Roman" w:cs="Times New Roman"/>
          <w:sz w:val="24"/>
          <w:szCs w:val="24"/>
        </w:rPr>
        <w:t xml:space="preserve"> need </w:t>
      </w:r>
      <w:r>
        <w:rPr>
          <w:rFonts w:ascii="Times New Roman" w:hAnsi="Times New Roman" w:cs="Times New Roman"/>
          <w:sz w:val="24"/>
          <w:szCs w:val="24"/>
        </w:rPr>
        <w:t xml:space="preserve">of </w:t>
      </w:r>
    </w:p>
    <w:p w:rsidR="00962B64" w:rsidRPr="00962B64" w:rsidRDefault="00A35812" w:rsidP="00962B64">
      <w:pPr>
        <w:spacing w:line="480" w:lineRule="auto"/>
        <w:rPr>
          <w:rFonts w:ascii="Times New Roman" w:hAnsi="Times New Roman" w:cs="Times New Roman"/>
          <w:sz w:val="24"/>
          <w:szCs w:val="24"/>
        </w:rPr>
      </w:pPr>
      <w:r w:rsidRPr="00962B64">
        <w:rPr>
          <w:rFonts w:ascii="Times New Roman" w:hAnsi="Times New Roman" w:cs="Times New Roman"/>
          <w:b/>
          <w:bCs/>
          <w:i/>
          <w:iCs/>
          <w:sz w:val="24"/>
          <w:szCs w:val="24"/>
        </w:rPr>
        <w:t>IT Governance: Policies &amp; Procedures</w:t>
      </w:r>
      <w:r w:rsidRPr="00962B64">
        <w:rPr>
          <w:rFonts w:ascii="Times New Roman" w:hAnsi="Times New Roman" w:cs="Times New Roman"/>
          <w:sz w:val="24"/>
          <w:szCs w:val="24"/>
        </w:rPr>
        <w:t> </w:t>
      </w:r>
      <w:r w:rsidR="009B7129" w:rsidRPr="009B7129">
        <w:rPr>
          <w:rFonts w:ascii="Times New Roman" w:hAnsi="Times New Roman" w:cs="Times New Roman"/>
          <w:b/>
          <w:i/>
          <w:sz w:val="24"/>
          <w:szCs w:val="24"/>
        </w:rPr>
        <w:t>Manual</w:t>
      </w:r>
      <w:r w:rsidR="009B7129">
        <w:rPr>
          <w:rFonts w:ascii="Times New Roman" w:hAnsi="Times New Roman" w:cs="Times New Roman"/>
          <w:sz w:val="24"/>
          <w:szCs w:val="24"/>
        </w:rPr>
        <w:t xml:space="preserve"> provides unilateral access to blue print information that relates to</w:t>
      </w:r>
      <w:r w:rsidRPr="00962B64">
        <w:rPr>
          <w:rFonts w:ascii="Times New Roman" w:hAnsi="Times New Roman" w:cs="Times New Roman"/>
          <w:sz w:val="24"/>
          <w:szCs w:val="24"/>
        </w:rPr>
        <w:t>:</w:t>
      </w:r>
    </w:p>
    <w:p w:rsidR="00962B64" w:rsidRPr="00962B64" w:rsidRDefault="00A35812" w:rsidP="00D24C2F">
      <w:pPr>
        <w:numPr>
          <w:ilvl w:val="0"/>
          <w:numId w:val="1"/>
        </w:numPr>
        <w:spacing w:line="360" w:lineRule="auto"/>
        <w:rPr>
          <w:rFonts w:ascii="Times New Roman" w:hAnsi="Times New Roman" w:cs="Times New Roman"/>
          <w:sz w:val="24"/>
          <w:szCs w:val="24"/>
        </w:rPr>
      </w:pPr>
      <w:r w:rsidRPr="00962B64">
        <w:rPr>
          <w:rFonts w:ascii="Times New Roman" w:hAnsi="Times New Roman" w:cs="Times New Roman"/>
          <w:sz w:val="24"/>
          <w:szCs w:val="24"/>
        </w:rPr>
        <w:t>Policy and planning</w:t>
      </w:r>
    </w:p>
    <w:p w:rsidR="00962B64" w:rsidRPr="00962B64" w:rsidRDefault="00A35812" w:rsidP="00D24C2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System security and accompanying d</w:t>
      </w:r>
      <w:r w:rsidRPr="00962B64">
        <w:rPr>
          <w:rFonts w:ascii="Times New Roman" w:hAnsi="Times New Roman" w:cs="Times New Roman"/>
          <w:sz w:val="24"/>
          <w:szCs w:val="24"/>
        </w:rPr>
        <w:t>ocumentation</w:t>
      </w:r>
    </w:p>
    <w:p w:rsidR="00962B64" w:rsidRPr="00962B64" w:rsidRDefault="00A35812" w:rsidP="00D24C2F">
      <w:pPr>
        <w:numPr>
          <w:ilvl w:val="0"/>
          <w:numId w:val="1"/>
        </w:numPr>
        <w:spacing w:line="360" w:lineRule="auto"/>
        <w:rPr>
          <w:rFonts w:ascii="Times New Roman" w:hAnsi="Times New Roman" w:cs="Times New Roman"/>
          <w:sz w:val="24"/>
          <w:szCs w:val="24"/>
        </w:rPr>
      </w:pPr>
      <w:r w:rsidRPr="00962B64">
        <w:rPr>
          <w:rFonts w:ascii="Times New Roman" w:hAnsi="Times New Roman" w:cs="Times New Roman"/>
          <w:sz w:val="24"/>
          <w:szCs w:val="24"/>
        </w:rPr>
        <w:t>Systems analysis</w:t>
      </w:r>
      <w:r w:rsidR="00D24C2F">
        <w:rPr>
          <w:rFonts w:ascii="Times New Roman" w:hAnsi="Times New Roman" w:cs="Times New Roman"/>
          <w:sz w:val="24"/>
          <w:szCs w:val="24"/>
        </w:rPr>
        <w:t xml:space="preserve">, </w:t>
      </w:r>
      <w:r w:rsidRPr="00962B64">
        <w:rPr>
          <w:rFonts w:ascii="Times New Roman" w:hAnsi="Times New Roman" w:cs="Times New Roman"/>
          <w:sz w:val="24"/>
          <w:szCs w:val="24"/>
        </w:rPr>
        <w:t>design</w:t>
      </w:r>
      <w:r w:rsidR="00D24C2F">
        <w:rPr>
          <w:rFonts w:ascii="Times New Roman" w:hAnsi="Times New Roman" w:cs="Times New Roman"/>
          <w:sz w:val="24"/>
          <w:szCs w:val="24"/>
        </w:rPr>
        <w:t>, and engineering</w:t>
      </w:r>
    </w:p>
    <w:p w:rsidR="00962B64" w:rsidRPr="00962B64" w:rsidRDefault="00A35812" w:rsidP="00D24C2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And other intricate details pertaining to PMG information systems’ policy</w:t>
      </w:r>
    </w:p>
    <w:tbl>
      <w:tblPr>
        <w:tblW w:w="13800" w:type="dxa"/>
        <w:shd w:val="clear" w:color="auto" w:fill="FFFFFF"/>
        <w:tblCellMar>
          <w:top w:w="15" w:type="dxa"/>
          <w:left w:w="15" w:type="dxa"/>
          <w:bottom w:w="15" w:type="dxa"/>
          <w:right w:w="15" w:type="dxa"/>
        </w:tblCellMar>
        <w:tblLook w:val="04A0" w:firstRow="1" w:lastRow="0" w:firstColumn="1" w:lastColumn="0" w:noHBand="0" w:noVBand="1"/>
        <w:tblDescription w:val="Product overview table"/>
      </w:tblPr>
      <w:tblGrid>
        <w:gridCol w:w="2850"/>
        <w:gridCol w:w="10950"/>
      </w:tblGrid>
      <w:tr w:rsidR="002C279D" w:rsidTr="00962B64">
        <w:tc>
          <w:tcPr>
            <w:tcW w:w="2850" w:type="dxa"/>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sidRPr="00962B64">
              <w:rPr>
                <w:rFonts w:ascii="Times New Roman" w:hAnsi="Times New Roman" w:cs="Times New Roman"/>
                <w:i/>
                <w:iCs/>
                <w:sz w:val="24"/>
                <w:szCs w:val="24"/>
              </w:rPr>
              <w:t>LAST UPDATED</w:t>
            </w:r>
          </w:p>
        </w:tc>
        <w:tc>
          <w:tcPr>
            <w:tcW w:w="0" w:type="auto"/>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Pr>
                <w:rFonts w:ascii="Times New Roman" w:hAnsi="Times New Roman" w:cs="Times New Roman"/>
                <w:i/>
                <w:iCs/>
                <w:sz w:val="24"/>
                <w:szCs w:val="24"/>
              </w:rPr>
              <w:t>03/05/2019</w:t>
            </w:r>
          </w:p>
        </w:tc>
      </w:tr>
      <w:tr w:rsidR="002C279D" w:rsidTr="00962B64">
        <w:tc>
          <w:tcPr>
            <w:tcW w:w="2850" w:type="dxa"/>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Pr>
                <w:rFonts w:ascii="Times New Roman" w:hAnsi="Times New Roman" w:cs="Times New Roman"/>
                <w:i/>
                <w:iCs/>
                <w:sz w:val="24"/>
                <w:szCs w:val="24"/>
              </w:rPr>
              <w:t>FREQUENCY OF UPDATE</w:t>
            </w:r>
          </w:p>
        </w:tc>
        <w:tc>
          <w:tcPr>
            <w:tcW w:w="0" w:type="auto"/>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Pr>
                <w:rFonts w:ascii="Times New Roman" w:hAnsi="Times New Roman" w:cs="Times New Roman"/>
                <w:i/>
                <w:iCs/>
                <w:sz w:val="24"/>
                <w:szCs w:val="24"/>
              </w:rPr>
              <w:t>annual basis</w:t>
            </w:r>
          </w:p>
        </w:tc>
      </w:tr>
      <w:tr w:rsidR="002C279D" w:rsidTr="00962B64">
        <w:tc>
          <w:tcPr>
            <w:tcW w:w="2850" w:type="dxa"/>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Pr>
                <w:rFonts w:ascii="Times New Roman" w:hAnsi="Times New Roman" w:cs="Times New Roman"/>
                <w:i/>
                <w:iCs/>
                <w:sz w:val="24"/>
                <w:szCs w:val="24"/>
              </w:rPr>
              <w:t>COMPANY</w:t>
            </w:r>
          </w:p>
        </w:tc>
        <w:tc>
          <w:tcPr>
            <w:tcW w:w="0" w:type="auto"/>
            <w:shd w:val="clear" w:color="auto" w:fill="FFFFFF"/>
            <w:tcMar>
              <w:top w:w="150" w:type="dxa"/>
              <w:left w:w="300" w:type="dxa"/>
              <w:bottom w:w="150" w:type="dxa"/>
              <w:right w:w="300" w:type="dxa"/>
            </w:tcMar>
            <w:vAlign w:val="center"/>
            <w:hideMark/>
          </w:tcPr>
          <w:p w:rsidR="00962B64" w:rsidRPr="00962B64" w:rsidRDefault="00A35812" w:rsidP="00D24C2F">
            <w:pPr>
              <w:spacing w:line="276" w:lineRule="auto"/>
              <w:rPr>
                <w:rFonts w:ascii="Times New Roman" w:hAnsi="Times New Roman" w:cs="Times New Roman"/>
                <w:i/>
                <w:iCs/>
                <w:sz w:val="24"/>
                <w:szCs w:val="24"/>
              </w:rPr>
            </w:pPr>
            <w:r>
              <w:rPr>
                <w:rFonts w:ascii="Times New Roman" w:hAnsi="Times New Roman" w:cs="Times New Roman"/>
                <w:i/>
                <w:iCs/>
                <w:sz w:val="24"/>
                <w:szCs w:val="24"/>
              </w:rPr>
              <w:t>PMG Company</w:t>
            </w:r>
          </w:p>
        </w:tc>
      </w:tr>
    </w:tbl>
    <w:p w:rsidR="00962B64" w:rsidRDefault="00962B64" w:rsidP="00962B64">
      <w:pPr>
        <w:spacing w:line="480" w:lineRule="auto"/>
        <w:rPr>
          <w:rFonts w:ascii="Times New Roman" w:hAnsi="Times New Roman" w:cs="Times New Roman"/>
          <w:sz w:val="24"/>
          <w:szCs w:val="24"/>
        </w:rPr>
      </w:pPr>
    </w:p>
    <w:p w:rsidR="00D24C2F" w:rsidRDefault="00D24C2F" w:rsidP="00962B64">
      <w:pPr>
        <w:spacing w:line="480" w:lineRule="auto"/>
        <w:rPr>
          <w:rFonts w:ascii="Times New Roman" w:hAnsi="Times New Roman" w:cs="Times New Roman"/>
          <w:sz w:val="24"/>
          <w:szCs w:val="24"/>
        </w:rPr>
      </w:pPr>
    </w:p>
    <w:p w:rsidR="00D24C2F" w:rsidRDefault="00D24C2F" w:rsidP="00962B64">
      <w:pPr>
        <w:spacing w:line="480" w:lineRule="auto"/>
        <w:rPr>
          <w:rFonts w:ascii="Times New Roman" w:hAnsi="Times New Roman" w:cs="Times New Roman"/>
          <w:sz w:val="24"/>
          <w:szCs w:val="24"/>
        </w:rPr>
      </w:pPr>
    </w:p>
    <w:p w:rsidR="00BF7ED7" w:rsidRDefault="00BF7ED7" w:rsidP="004E5404">
      <w:pPr>
        <w:spacing w:line="480" w:lineRule="auto"/>
        <w:jc w:val="center"/>
        <w:rPr>
          <w:rFonts w:ascii="Times New Roman" w:hAnsi="Times New Roman" w:cs="Times New Roman"/>
          <w:sz w:val="24"/>
          <w:szCs w:val="24"/>
        </w:rPr>
      </w:pPr>
    </w:p>
    <w:p w:rsidR="00BF7ED7" w:rsidRDefault="00BF7ED7" w:rsidP="004E5404">
      <w:pPr>
        <w:spacing w:line="480" w:lineRule="auto"/>
        <w:jc w:val="center"/>
        <w:rPr>
          <w:rFonts w:ascii="Times New Roman" w:hAnsi="Times New Roman" w:cs="Times New Roman"/>
          <w:sz w:val="24"/>
          <w:szCs w:val="24"/>
        </w:rPr>
      </w:pPr>
    </w:p>
    <w:p w:rsidR="00D24C2F" w:rsidRDefault="00A35812" w:rsidP="00BF7ED7">
      <w:pPr>
        <w:pStyle w:val="Heading1"/>
      </w:pPr>
      <w:bookmarkStart w:id="2" w:name="_Toc2699182"/>
      <w:r>
        <w:t>Business and IT Goals</w:t>
      </w:r>
      <w:bookmarkEnd w:id="2"/>
    </w:p>
    <w:p w:rsidR="004E5404" w:rsidRDefault="00A35812" w:rsidP="00BF7ED7">
      <w:pPr>
        <w:pStyle w:val="Heading2"/>
      </w:pPr>
      <w:bookmarkStart w:id="3" w:name="_Toc2699183"/>
      <w:r>
        <w:t>Business Goals</w:t>
      </w:r>
      <w:bookmarkEnd w:id="3"/>
    </w:p>
    <w:p w:rsidR="003B500F" w:rsidRDefault="00A35812" w:rsidP="004E540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company currently has its eyes set on three major business goals. First, breaking into the northern market of the country and the Canadian market.</w:t>
      </w:r>
      <w:r w:rsidR="00A76094">
        <w:rPr>
          <w:rFonts w:ascii="Times New Roman" w:hAnsi="Times New Roman" w:cs="Times New Roman"/>
          <w:sz w:val="24"/>
          <w:szCs w:val="24"/>
        </w:rPr>
        <w:t xml:space="preserve"> The Canadian Information Technology market is equally a mature market like</w:t>
      </w:r>
      <w:r>
        <w:rPr>
          <w:rFonts w:ascii="Times New Roman" w:hAnsi="Times New Roman" w:cs="Times New Roman"/>
          <w:sz w:val="24"/>
          <w:szCs w:val="24"/>
        </w:rPr>
        <w:t xml:space="preserve"> the one for the United States</w:t>
      </w:r>
      <w:r>
        <w:rPr>
          <w:rFonts w:ascii="Times New Roman" w:hAnsi="Times New Roman" w:cs="Times New Roman"/>
          <w:sz w:val="24"/>
          <w:szCs w:val="24"/>
        </w:rPr>
        <w:t xml:space="preserve">. The market is several suppliers who are not very much differentiated but enjoy both internal and external economies of scale. The market power rests in the hands of the buyers or consumers who are spoilt with choices </w:t>
      </w:r>
      <w:r w:rsidR="00683E6A">
        <w:rPr>
          <w:rFonts w:ascii="Times New Roman" w:hAnsi="Times New Roman" w:cs="Times New Roman"/>
          <w:sz w:val="24"/>
          <w:szCs w:val="24"/>
        </w:rPr>
        <w:t xml:space="preserve">to make </w:t>
      </w:r>
      <w:r>
        <w:rPr>
          <w:rFonts w:ascii="Times New Roman" w:hAnsi="Times New Roman" w:cs="Times New Roman"/>
          <w:sz w:val="24"/>
          <w:szCs w:val="24"/>
        </w:rPr>
        <w:t>of what they need</w:t>
      </w:r>
      <w:r w:rsidR="00683E6A">
        <w:rPr>
          <w:rFonts w:ascii="Times New Roman" w:hAnsi="Times New Roman" w:cs="Times New Roman"/>
          <w:sz w:val="24"/>
          <w:szCs w:val="24"/>
        </w:rPr>
        <w:t xml:space="preserve"> and where to get it from</w:t>
      </w:r>
      <w:r>
        <w:rPr>
          <w:rFonts w:ascii="Times New Roman" w:hAnsi="Times New Roman" w:cs="Times New Roman"/>
          <w:sz w:val="24"/>
          <w:szCs w:val="24"/>
        </w:rPr>
        <w:t>. At the same time, the market is open with low barriers to entry other than the government enacting local company’s protection act</w:t>
      </w:r>
      <w:r w:rsidR="00A76094">
        <w:rPr>
          <w:rFonts w:ascii="Times New Roman" w:hAnsi="Times New Roman" w:cs="Times New Roman"/>
          <w:sz w:val="24"/>
          <w:szCs w:val="24"/>
        </w:rPr>
        <w:t xml:space="preserve"> </w:t>
      </w:r>
      <w:r>
        <w:rPr>
          <w:rFonts w:ascii="Times New Roman" w:hAnsi="Times New Roman" w:cs="Times New Roman"/>
          <w:sz w:val="24"/>
          <w:szCs w:val="24"/>
        </w:rPr>
        <w:t>to prevent direct competition that can be leveled against small firms whose annual turnover rates are below $ 1</w:t>
      </w:r>
      <w:r>
        <w:rPr>
          <w:rFonts w:ascii="Times New Roman" w:hAnsi="Times New Roman" w:cs="Times New Roman"/>
          <w:sz w:val="24"/>
          <w:szCs w:val="24"/>
        </w:rPr>
        <w:t>00 million. There is one major risk with a move towards the northern market and Canada, the risk of liquidity.</w:t>
      </w:r>
    </w:p>
    <w:p w:rsidR="004E5404" w:rsidRDefault="00A35812" w:rsidP="004E540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500F">
        <w:rPr>
          <w:rFonts w:ascii="Times New Roman" w:hAnsi="Times New Roman" w:cs="Times New Roman"/>
          <w:sz w:val="24"/>
          <w:szCs w:val="24"/>
        </w:rPr>
        <w:tab/>
      </w:r>
      <w:r>
        <w:rPr>
          <w:rFonts w:ascii="Times New Roman" w:hAnsi="Times New Roman" w:cs="Times New Roman"/>
          <w:sz w:val="24"/>
          <w:szCs w:val="24"/>
        </w:rPr>
        <w:t xml:space="preserve">Secondly, </w:t>
      </w:r>
      <w:r w:rsidR="00B741B0">
        <w:rPr>
          <w:rFonts w:ascii="Times New Roman" w:hAnsi="Times New Roman" w:cs="Times New Roman"/>
          <w:sz w:val="24"/>
          <w:szCs w:val="24"/>
        </w:rPr>
        <w:t xml:space="preserve">increasing company annual revenue to $330 million and above with a turnover rate of $ 1 billion. </w:t>
      </w:r>
      <w:r w:rsidR="003B500F">
        <w:rPr>
          <w:rFonts w:ascii="Times New Roman" w:hAnsi="Times New Roman" w:cs="Times New Roman"/>
          <w:sz w:val="24"/>
          <w:szCs w:val="24"/>
        </w:rPr>
        <w:t>In actual sense</w:t>
      </w:r>
      <w:r w:rsidR="001F7C8B">
        <w:rPr>
          <w:rFonts w:ascii="Times New Roman" w:hAnsi="Times New Roman" w:cs="Times New Roman"/>
          <w:sz w:val="24"/>
          <w:szCs w:val="24"/>
        </w:rPr>
        <w:t xml:space="preserve">, all company business goals and strategic objectives all converge at this particular goal. All resources and plans at the PMG Company are all streamlined towards increasing company revenues by at least 5% and above by closing business this year. </w:t>
      </w:r>
      <w:r w:rsidR="00B741B0">
        <w:rPr>
          <w:rFonts w:ascii="Times New Roman" w:hAnsi="Times New Roman" w:cs="Times New Roman"/>
          <w:sz w:val="24"/>
          <w:szCs w:val="24"/>
        </w:rPr>
        <w:t>Finally, completing a takeover to Green Valley Technologies, an IT network solution with a good presence in the southern Canada market.</w:t>
      </w:r>
      <w:r w:rsidR="001F7C8B">
        <w:rPr>
          <w:rFonts w:ascii="Times New Roman" w:hAnsi="Times New Roman" w:cs="Times New Roman"/>
          <w:sz w:val="24"/>
          <w:szCs w:val="24"/>
        </w:rPr>
        <w:t xml:space="preserve"> Due to the local company’s protection act that aims to protect young Canadian companies from direct competition that emanates from foreign companies, the best way to scale up operations in Canada within the shortest period possible is through taking over one of the local companies there. A decision has been</w:t>
      </w:r>
      <w:r w:rsidR="00530147">
        <w:rPr>
          <w:rFonts w:ascii="Times New Roman" w:hAnsi="Times New Roman" w:cs="Times New Roman"/>
          <w:sz w:val="24"/>
          <w:szCs w:val="24"/>
        </w:rPr>
        <w:t xml:space="preserve"> reached clearing Green Valley Technologies as the company to go for. </w:t>
      </w:r>
    </w:p>
    <w:p w:rsidR="00530147" w:rsidRDefault="00530147" w:rsidP="004E5404">
      <w:pPr>
        <w:spacing w:line="480" w:lineRule="auto"/>
        <w:rPr>
          <w:rFonts w:ascii="Times New Roman" w:hAnsi="Times New Roman" w:cs="Times New Roman"/>
          <w:sz w:val="24"/>
          <w:szCs w:val="24"/>
        </w:rPr>
      </w:pPr>
    </w:p>
    <w:p w:rsidR="00630630" w:rsidRDefault="00A35812" w:rsidP="00BF7ED7">
      <w:pPr>
        <w:pStyle w:val="Heading2"/>
      </w:pPr>
      <w:bookmarkStart w:id="4" w:name="_Toc2699184"/>
      <w:r>
        <w:t>IT Goals to Support the ab</w:t>
      </w:r>
      <w:r>
        <w:t>ove Business Goals</w:t>
      </w:r>
      <w:bookmarkEnd w:id="4"/>
    </w:p>
    <w:p w:rsidR="00630630" w:rsidRDefault="00A35812" w:rsidP="006306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company’s </w:t>
      </w:r>
      <w:r w:rsidRPr="00630630">
        <w:rPr>
          <w:rFonts w:ascii="Times New Roman" w:hAnsi="Times New Roman" w:cs="Times New Roman"/>
          <w:sz w:val="24"/>
          <w:szCs w:val="24"/>
        </w:rPr>
        <w:t xml:space="preserve">IT department </w:t>
      </w:r>
      <w:r>
        <w:rPr>
          <w:rFonts w:ascii="Times New Roman" w:hAnsi="Times New Roman" w:cs="Times New Roman"/>
          <w:sz w:val="24"/>
          <w:szCs w:val="24"/>
        </w:rPr>
        <w:t xml:space="preserve">in conjunction with the overall strategic plan of the company </w:t>
      </w:r>
      <w:r w:rsidRPr="00630630">
        <w:rPr>
          <w:rFonts w:ascii="Times New Roman" w:hAnsi="Times New Roman" w:cs="Times New Roman"/>
          <w:sz w:val="24"/>
          <w:szCs w:val="24"/>
        </w:rPr>
        <w:t xml:space="preserve">set </w:t>
      </w:r>
      <w:r>
        <w:rPr>
          <w:rFonts w:ascii="Times New Roman" w:hAnsi="Times New Roman" w:cs="Times New Roman"/>
          <w:sz w:val="24"/>
          <w:szCs w:val="24"/>
        </w:rPr>
        <w:t xml:space="preserve">three major </w:t>
      </w:r>
      <w:r w:rsidRPr="00630630">
        <w:rPr>
          <w:rFonts w:ascii="Times New Roman" w:hAnsi="Times New Roman" w:cs="Times New Roman"/>
          <w:sz w:val="24"/>
          <w:szCs w:val="24"/>
        </w:rPr>
        <w:t xml:space="preserve">goals </w:t>
      </w:r>
      <w:r>
        <w:rPr>
          <w:rFonts w:ascii="Times New Roman" w:hAnsi="Times New Roman" w:cs="Times New Roman"/>
          <w:sz w:val="24"/>
          <w:szCs w:val="24"/>
        </w:rPr>
        <w:t xml:space="preserve">aimed at streamlining operations and ensuring efficiency while at the same time aligning them towards supporting the </w:t>
      </w:r>
      <w:r>
        <w:rPr>
          <w:rFonts w:ascii="Times New Roman" w:hAnsi="Times New Roman" w:cs="Times New Roman"/>
          <w:sz w:val="24"/>
          <w:szCs w:val="24"/>
        </w:rPr>
        <w:t>processes put in place to help achieve the business goals. The first IT goal is</w:t>
      </w:r>
      <w:r w:rsidRPr="00630630">
        <w:rPr>
          <w:rFonts w:ascii="Times New Roman" w:hAnsi="Times New Roman" w:cs="Times New Roman"/>
          <w:sz w:val="24"/>
          <w:szCs w:val="24"/>
        </w:rPr>
        <w:t xml:space="preserve"> eliminating all IT related redundanci</w:t>
      </w:r>
      <w:r>
        <w:rPr>
          <w:rFonts w:ascii="Times New Roman" w:hAnsi="Times New Roman" w:cs="Times New Roman"/>
          <w:sz w:val="24"/>
          <w:szCs w:val="24"/>
        </w:rPr>
        <w:t xml:space="preserve">es by the first quarter of the year. Secondly, </w:t>
      </w:r>
      <w:r w:rsidRPr="00630630">
        <w:rPr>
          <w:rFonts w:ascii="Times New Roman" w:hAnsi="Times New Roman" w:cs="Times New Roman"/>
          <w:sz w:val="24"/>
          <w:szCs w:val="24"/>
        </w:rPr>
        <w:t>implement a pure One Shortest Path First (OSPF) and Enhanced Interior Gateway Routing Protoc</w:t>
      </w:r>
      <w:r w:rsidRPr="00630630">
        <w:rPr>
          <w:rFonts w:ascii="Times New Roman" w:hAnsi="Times New Roman" w:cs="Times New Roman"/>
          <w:sz w:val="24"/>
          <w:szCs w:val="24"/>
        </w:rPr>
        <w:t xml:space="preserve">ol (EIGRP)-based network to halve the cost of company network maintenance cost by the end of the second fiscal quarter. </w:t>
      </w:r>
      <w:r>
        <w:rPr>
          <w:rFonts w:ascii="Times New Roman" w:hAnsi="Times New Roman" w:cs="Times New Roman"/>
          <w:sz w:val="24"/>
          <w:szCs w:val="24"/>
        </w:rPr>
        <w:t xml:space="preserve">Finally, the department also aims to conduct </w:t>
      </w:r>
      <w:r w:rsidR="00C05685">
        <w:rPr>
          <w:rFonts w:ascii="Times New Roman" w:hAnsi="Times New Roman" w:cs="Times New Roman"/>
          <w:sz w:val="24"/>
          <w:szCs w:val="24"/>
        </w:rPr>
        <w:t xml:space="preserve">total </w:t>
      </w:r>
      <w:r>
        <w:rPr>
          <w:rFonts w:ascii="Times New Roman" w:hAnsi="Times New Roman" w:cs="Times New Roman"/>
          <w:sz w:val="24"/>
          <w:szCs w:val="24"/>
        </w:rPr>
        <w:t>infrastructure migration to the cloud</w:t>
      </w:r>
      <w:r w:rsidR="00C05685">
        <w:rPr>
          <w:rFonts w:ascii="Times New Roman" w:hAnsi="Times New Roman" w:cs="Times New Roman"/>
          <w:sz w:val="24"/>
          <w:szCs w:val="24"/>
        </w:rPr>
        <w:t xml:space="preserve"> by the end of the second quarter of the year. </w:t>
      </w:r>
      <w:r w:rsidRPr="00630630">
        <w:rPr>
          <w:rFonts w:ascii="Times New Roman" w:hAnsi="Times New Roman" w:cs="Times New Roman"/>
          <w:sz w:val="24"/>
          <w:szCs w:val="24"/>
        </w:rPr>
        <w:t>T</w:t>
      </w:r>
      <w:r w:rsidRPr="00630630">
        <w:rPr>
          <w:rFonts w:ascii="Times New Roman" w:hAnsi="Times New Roman" w:cs="Times New Roman"/>
          <w:sz w:val="24"/>
          <w:szCs w:val="24"/>
        </w:rPr>
        <w:t>he IT department goals go hand in hand with the general company business goals of cutting the cost of internal operations to save as much money as possible for the implementation of core business objective which is running aggressive marketing that would r</w:t>
      </w:r>
      <w:r w:rsidRPr="00630630">
        <w:rPr>
          <w:rFonts w:ascii="Times New Roman" w:hAnsi="Times New Roman" w:cs="Times New Roman"/>
          <w:sz w:val="24"/>
          <w:szCs w:val="24"/>
        </w:rPr>
        <w:t>esult to international market invasion</w:t>
      </w:r>
      <w:r w:rsidR="00683E6A" w:rsidRPr="00683E6A">
        <w:rPr>
          <w:rFonts w:ascii="Times New Roman" w:hAnsi="Times New Roman" w:cs="Times New Roman"/>
          <w:sz w:val="24"/>
          <w:szCs w:val="24"/>
        </w:rPr>
        <w:t xml:space="preserve"> </w:t>
      </w:r>
      <w:r w:rsidR="00683E6A">
        <w:rPr>
          <w:rFonts w:ascii="Times New Roman" w:hAnsi="Times New Roman" w:cs="Times New Roman"/>
          <w:sz w:val="24"/>
          <w:szCs w:val="24"/>
        </w:rPr>
        <w:t xml:space="preserve">(Murtagh et al.,. 2016) </w:t>
      </w:r>
    </w:p>
    <w:p w:rsidR="00C05685" w:rsidRDefault="00A35812" w:rsidP="00BF7ED7">
      <w:pPr>
        <w:pStyle w:val="Heading2"/>
      </w:pPr>
      <w:bookmarkStart w:id="5" w:name="_Toc2699185"/>
      <w:r>
        <w:t>Conflicts between the two Sets of Goals</w:t>
      </w:r>
      <w:bookmarkEnd w:id="5"/>
    </w:p>
    <w:p w:rsidR="005E6C19" w:rsidRDefault="00A35812" w:rsidP="00683E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Undoubtedly, the two sets of goals are equally important to the organization’s wellbeing. However, concerns have always been raised regarding budgetary </w:t>
      </w:r>
      <w:r>
        <w:rPr>
          <w:rFonts w:ascii="Times New Roman" w:hAnsi="Times New Roman" w:cs="Times New Roman"/>
          <w:sz w:val="24"/>
          <w:szCs w:val="24"/>
        </w:rPr>
        <w:t>allocation issues and supremacy battles. Since achieving expansion success in the southern states, the company’s IT department received a lot of attention from the management that pitted the department to collision paths with other departments in the compa</w:t>
      </w:r>
      <w:r>
        <w:rPr>
          <w:rFonts w:ascii="Times New Roman" w:hAnsi="Times New Roman" w:cs="Times New Roman"/>
          <w:sz w:val="24"/>
          <w:szCs w:val="24"/>
        </w:rPr>
        <w:t>ny. However, all these misunderstandings were ably addressed through the internal reorganization that has seen the strategic IT Department of the company having its own finance department to help it get over its capital intensive ventures.</w:t>
      </w:r>
    </w:p>
    <w:p w:rsidR="005E6C19" w:rsidRDefault="00A35812" w:rsidP="00BF7ED7">
      <w:pPr>
        <w:pStyle w:val="Heading1"/>
      </w:pPr>
      <w:bookmarkStart w:id="6" w:name="_Toc2699186"/>
      <w:r>
        <w:lastRenderedPageBreak/>
        <w:t>Information Tech</w:t>
      </w:r>
      <w:r>
        <w:t xml:space="preserve">nology </w:t>
      </w:r>
      <w:r w:rsidR="00FF0FA8">
        <w:t xml:space="preserve">Governance </w:t>
      </w:r>
      <w:r>
        <w:t>and Information Security Governance</w:t>
      </w:r>
      <w:bookmarkEnd w:id="6"/>
    </w:p>
    <w:p w:rsidR="00FF0FA8" w:rsidRDefault="00A35812" w:rsidP="00BF7ED7">
      <w:pPr>
        <w:pStyle w:val="Heading2"/>
      </w:pPr>
      <w:bookmarkStart w:id="7" w:name="_Toc2699187"/>
      <w:r>
        <w:t>Summary</w:t>
      </w:r>
      <w:bookmarkEnd w:id="7"/>
      <w:r>
        <w:t xml:space="preserve"> </w:t>
      </w:r>
    </w:p>
    <w:p w:rsidR="005E6C19" w:rsidRDefault="00A35812" w:rsidP="00FF0FA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Information Technology Governance generally concerns making IT investments in a company and managing the resulting investment well to earn a good return on investment by significantly contribut</w:t>
      </w:r>
      <w:r>
        <w:rPr>
          <w:rFonts w:ascii="Times New Roman" w:hAnsi="Times New Roman" w:cs="Times New Roman"/>
          <w:sz w:val="24"/>
          <w:szCs w:val="24"/>
        </w:rPr>
        <w:t>ing to the business objectives</w:t>
      </w:r>
      <w:r w:rsidR="00683E6A">
        <w:rPr>
          <w:rFonts w:ascii="Times New Roman" w:hAnsi="Times New Roman" w:cs="Times New Roman"/>
          <w:sz w:val="24"/>
          <w:szCs w:val="24"/>
        </w:rPr>
        <w:t xml:space="preserve"> (Maras, 2015)</w:t>
      </w:r>
      <w:r>
        <w:rPr>
          <w:rFonts w:ascii="Times New Roman" w:hAnsi="Times New Roman" w:cs="Times New Roman"/>
          <w:sz w:val="24"/>
          <w:szCs w:val="24"/>
        </w:rPr>
        <w:t xml:space="preserve">. On the other hand, information security governance </w:t>
      </w:r>
      <w:r w:rsidRPr="00FF0FA8">
        <w:rPr>
          <w:rFonts w:ascii="Times New Roman" w:hAnsi="Times New Roman" w:cs="Times New Roman"/>
          <w:sz w:val="24"/>
          <w:szCs w:val="24"/>
        </w:rPr>
        <w:t>points to the responsibilities of individuals mandated to ensure the IT information security agenda is well undertaken</w:t>
      </w:r>
      <w:r>
        <w:rPr>
          <w:rFonts w:ascii="Times New Roman" w:hAnsi="Times New Roman" w:cs="Times New Roman"/>
          <w:sz w:val="24"/>
          <w:szCs w:val="24"/>
        </w:rPr>
        <w:t>.</w:t>
      </w:r>
    </w:p>
    <w:p w:rsidR="00FF0FA8" w:rsidRDefault="00A35812" w:rsidP="00BF7ED7">
      <w:pPr>
        <w:pStyle w:val="Heading2"/>
      </w:pPr>
      <w:bookmarkStart w:id="8" w:name="_Toc2699188"/>
      <w:r>
        <w:t>Similarities and Differences</w:t>
      </w:r>
      <w:bookmarkEnd w:id="8"/>
    </w:p>
    <w:p w:rsidR="00FF0FA8" w:rsidRDefault="00A35812" w:rsidP="00FF0FA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two a</w:t>
      </w:r>
      <w:r>
        <w:rPr>
          <w:rFonts w:ascii="Times New Roman" w:hAnsi="Times New Roman" w:cs="Times New Roman"/>
          <w:sz w:val="24"/>
          <w:szCs w:val="24"/>
        </w:rPr>
        <w:t>re similar in the sense that they all have a contribution to the final business objectives of the co</w:t>
      </w:r>
      <w:r w:rsidR="00347D18">
        <w:rPr>
          <w:rFonts w:ascii="Times New Roman" w:hAnsi="Times New Roman" w:cs="Times New Roman"/>
          <w:sz w:val="24"/>
          <w:szCs w:val="24"/>
        </w:rPr>
        <w:t xml:space="preserve">mpany. For their differences, the </w:t>
      </w:r>
      <w:r w:rsidR="00347D18" w:rsidRPr="00FF0FA8">
        <w:rPr>
          <w:rFonts w:ascii="Times New Roman" w:hAnsi="Times New Roman" w:cs="Times New Roman"/>
          <w:sz w:val="24"/>
          <w:szCs w:val="24"/>
        </w:rPr>
        <w:t xml:space="preserve">IT governance </w:t>
      </w:r>
      <w:r w:rsidR="00347D18">
        <w:rPr>
          <w:rFonts w:ascii="Times New Roman" w:hAnsi="Times New Roman" w:cs="Times New Roman"/>
          <w:sz w:val="24"/>
          <w:szCs w:val="24"/>
        </w:rPr>
        <w:t>involves</w:t>
      </w:r>
      <w:r w:rsidR="00347D18" w:rsidRPr="00FF0FA8">
        <w:rPr>
          <w:rFonts w:ascii="Times New Roman" w:hAnsi="Times New Roman" w:cs="Times New Roman"/>
          <w:sz w:val="24"/>
          <w:szCs w:val="24"/>
        </w:rPr>
        <w:t xml:space="preserve"> </w:t>
      </w:r>
      <w:r w:rsidR="00347D18">
        <w:rPr>
          <w:rFonts w:ascii="Times New Roman" w:hAnsi="Times New Roman" w:cs="Times New Roman"/>
          <w:sz w:val="24"/>
          <w:szCs w:val="24"/>
        </w:rPr>
        <w:t>observing</w:t>
      </w:r>
      <w:r w:rsidR="00347D18" w:rsidRPr="00FF0FA8">
        <w:rPr>
          <w:rFonts w:ascii="Times New Roman" w:hAnsi="Times New Roman" w:cs="Times New Roman"/>
          <w:sz w:val="24"/>
          <w:szCs w:val="24"/>
        </w:rPr>
        <w:t xml:space="preserve"> best practices </w:t>
      </w:r>
      <w:r w:rsidR="00347D18">
        <w:rPr>
          <w:rFonts w:ascii="Times New Roman" w:hAnsi="Times New Roman" w:cs="Times New Roman"/>
          <w:sz w:val="24"/>
          <w:szCs w:val="24"/>
        </w:rPr>
        <w:t xml:space="preserve">and established frameworks to optimize resulting benefits of </w:t>
      </w:r>
      <w:r w:rsidR="00347D18" w:rsidRPr="00FF0FA8">
        <w:rPr>
          <w:rFonts w:ascii="Times New Roman" w:hAnsi="Times New Roman" w:cs="Times New Roman"/>
          <w:sz w:val="24"/>
          <w:szCs w:val="24"/>
        </w:rPr>
        <w:t xml:space="preserve">IT investments and support </w:t>
      </w:r>
      <w:r w:rsidR="00347D18">
        <w:rPr>
          <w:rFonts w:ascii="Times New Roman" w:hAnsi="Times New Roman" w:cs="Times New Roman"/>
          <w:sz w:val="24"/>
          <w:szCs w:val="24"/>
        </w:rPr>
        <w:t xml:space="preserve">attainment of business goals whereas Information Security Governance concerns </w:t>
      </w:r>
      <w:r w:rsidR="00347D18" w:rsidRPr="00FF0FA8">
        <w:rPr>
          <w:rFonts w:ascii="Times New Roman" w:hAnsi="Times New Roman" w:cs="Times New Roman"/>
          <w:sz w:val="24"/>
          <w:szCs w:val="24"/>
        </w:rPr>
        <w:t>polices</w:t>
      </w:r>
      <w:r w:rsidRPr="00FF0FA8">
        <w:rPr>
          <w:rFonts w:ascii="Times New Roman" w:hAnsi="Times New Roman" w:cs="Times New Roman"/>
          <w:sz w:val="24"/>
          <w:szCs w:val="24"/>
        </w:rPr>
        <w:t xml:space="preserve"> and processes to </w:t>
      </w:r>
      <w:r w:rsidR="00347D18">
        <w:rPr>
          <w:rFonts w:ascii="Times New Roman" w:hAnsi="Times New Roman" w:cs="Times New Roman"/>
          <w:sz w:val="24"/>
          <w:szCs w:val="24"/>
        </w:rPr>
        <w:t>maximize</w:t>
      </w:r>
      <w:r w:rsidRPr="00FF0FA8">
        <w:rPr>
          <w:rFonts w:ascii="Times New Roman" w:hAnsi="Times New Roman" w:cs="Times New Roman"/>
          <w:sz w:val="24"/>
          <w:szCs w:val="24"/>
        </w:rPr>
        <w:t xml:space="preserve"> and leverage information </w:t>
      </w:r>
      <w:r w:rsidR="00347D18">
        <w:rPr>
          <w:rFonts w:ascii="Times New Roman" w:hAnsi="Times New Roman" w:cs="Times New Roman"/>
          <w:sz w:val="24"/>
          <w:szCs w:val="24"/>
        </w:rPr>
        <w:t>while at the same time ensuring it is secure</w:t>
      </w:r>
      <w:r w:rsidRPr="00FF0FA8">
        <w:rPr>
          <w:rFonts w:ascii="Times New Roman" w:hAnsi="Times New Roman" w:cs="Times New Roman"/>
          <w:sz w:val="24"/>
          <w:szCs w:val="24"/>
        </w:rPr>
        <w:t xml:space="preserve"> </w:t>
      </w:r>
      <w:r w:rsidR="00347D18">
        <w:rPr>
          <w:rFonts w:ascii="Times New Roman" w:hAnsi="Times New Roman" w:cs="Times New Roman"/>
          <w:sz w:val="24"/>
          <w:szCs w:val="24"/>
        </w:rPr>
        <w:t>meets</w:t>
      </w:r>
      <w:r w:rsidRPr="00FF0FA8">
        <w:rPr>
          <w:rFonts w:ascii="Times New Roman" w:hAnsi="Times New Roman" w:cs="Times New Roman"/>
          <w:sz w:val="24"/>
          <w:szCs w:val="24"/>
        </w:rPr>
        <w:t xml:space="preserve"> legal and privacy </w:t>
      </w:r>
      <w:r w:rsidR="00347D18">
        <w:rPr>
          <w:rFonts w:ascii="Times New Roman" w:hAnsi="Times New Roman" w:cs="Times New Roman"/>
          <w:sz w:val="24"/>
          <w:szCs w:val="24"/>
        </w:rPr>
        <w:t>requirements</w:t>
      </w:r>
      <w:r w:rsidRPr="00FF0FA8">
        <w:rPr>
          <w:rFonts w:ascii="Times New Roman" w:hAnsi="Times New Roman" w:cs="Times New Roman"/>
          <w:sz w:val="24"/>
          <w:szCs w:val="24"/>
        </w:rPr>
        <w:t xml:space="preserve"> </w:t>
      </w:r>
      <w:r w:rsidR="00347D18">
        <w:rPr>
          <w:rFonts w:ascii="Times New Roman" w:hAnsi="Times New Roman" w:cs="Times New Roman"/>
          <w:sz w:val="24"/>
          <w:szCs w:val="24"/>
        </w:rPr>
        <w:t>consistent with the company’s</w:t>
      </w:r>
      <w:r w:rsidRPr="00FF0FA8">
        <w:rPr>
          <w:rFonts w:ascii="Times New Roman" w:hAnsi="Times New Roman" w:cs="Times New Roman"/>
          <w:sz w:val="24"/>
          <w:szCs w:val="24"/>
        </w:rPr>
        <w:t xml:space="preserve"> business objectives</w:t>
      </w:r>
      <w:r w:rsidR="00683E6A">
        <w:rPr>
          <w:rFonts w:ascii="Times New Roman" w:hAnsi="Times New Roman" w:cs="Times New Roman"/>
          <w:sz w:val="24"/>
          <w:szCs w:val="24"/>
        </w:rPr>
        <w:t xml:space="preserve"> (Pol, 2016)</w:t>
      </w:r>
      <w:r w:rsidRPr="00FF0FA8">
        <w:rPr>
          <w:rFonts w:ascii="Times New Roman" w:hAnsi="Times New Roman" w:cs="Times New Roman"/>
          <w:sz w:val="24"/>
          <w:szCs w:val="24"/>
        </w:rPr>
        <w:t xml:space="preserve">. </w:t>
      </w:r>
    </w:p>
    <w:p w:rsidR="00347D18" w:rsidRDefault="00A35812" w:rsidP="00BF7ED7">
      <w:pPr>
        <w:pStyle w:val="Heading2"/>
      </w:pPr>
      <w:bookmarkStart w:id="9" w:name="_Toc2699189"/>
      <w:r>
        <w:t>Regulatory Requirements</w:t>
      </w:r>
      <w:bookmarkEnd w:id="9"/>
      <w:r>
        <w:t xml:space="preserve"> </w:t>
      </w:r>
    </w:p>
    <w:p w:rsidR="00FE3162" w:rsidRDefault="00A35812" w:rsidP="00347D18">
      <w:pPr>
        <w:spacing w:line="480" w:lineRule="auto"/>
        <w:rPr>
          <w:rFonts w:ascii="Times New Roman" w:hAnsi="Times New Roman" w:cs="Times New Roman"/>
          <w:sz w:val="24"/>
          <w:szCs w:val="24"/>
        </w:rPr>
      </w:pPr>
      <w:r>
        <w:rPr>
          <w:rFonts w:ascii="Times New Roman" w:hAnsi="Times New Roman" w:cs="Times New Roman"/>
          <w:sz w:val="24"/>
          <w:szCs w:val="24"/>
        </w:rPr>
        <w:t>Organization-based Employee Regulatory Requirements</w:t>
      </w:r>
    </w:p>
    <w:p w:rsidR="00FE3162" w:rsidRPr="00683E6A" w:rsidRDefault="00A35812" w:rsidP="00683E6A">
      <w:pPr>
        <w:pStyle w:val="ListParagraph"/>
        <w:numPr>
          <w:ilvl w:val="0"/>
          <w:numId w:val="2"/>
        </w:numPr>
        <w:spacing w:line="360" w:lineRule="auto"/>
        <w:rPr>
          <w:rFonts w:ascii="Times New Roman" w:hAnsi="Times New Roman" w:cs="Times New Roman"/>
          <w:sz w:val="24"/>
          <w:szCs w:val="24"/>
        </w:rPr>
      </w:pPr>
      <w:r w:rsidRPr="00683E6A">
        <w:rPr>
          <w:rFonts w:ascii="Times New Roman" w:hAnsi="Times New Roman" w:cs="Times New Roman"/>
          <w:sz w:val="24"/>
          <w:szCs w:val="24"/>
        </w:rPr>
        <w:t>Internal computer use policies</w:t>
      </w:r>
    </w:p>
    <w:p w:rsidR="00683E6A" w:rsidRPr="00683E6A" w:rsidRDefault="00A35812" w:rsidP="00683E6A">
      <w:pPr>
        <w:pStyle w:val="ListParagraph"/>
        <w:numPr>
          <w:ilvl w:val="0"/>
          <w:numId w:val="2"/>
        </w:numPr>
        <w:spacing w:line="360" w:lineRule="auto"/>
        <w:rPr>
          <w:rFonts w:ascii="Times New Roman" w:hAnsi="Times New Roman" w:cs="Times New Roman"/>
          <w:sz w:val="24"/>
          <w:szCs w:val="24"/>
        </w:rPr>
      </w:pPr>
      <w:r w:rsidRPr="00683E6A">
        <w:rPr>
          <w:rFonts w:ascii="Times New Roman" w:hAnsi="Times New Roman" w:cs="Times New Roman"/>
          <w:sz w:val="24"/>
          <w:szCs w:val="24"/>
        </w:rPr>
        <w:t>Professional Dignity and Promotion of Professional Aims</w:t>
      </w:r>
    </w:p>
    <w:p w:rsidR="00683E6A" w:rsidRPr="00683E6A" w:rsidRDefault="00A35812" w:rsidP="00683E6A">
      <w:pPr>
        <w:pStyle w:val="ListParagraph"/>
        <w:numPr>
          <w:ilvl w:val="0"/>
          <w:numId w:val="2"/>
        </w:numPr>
        <w:spacing w:line="360" w:lineRule="auto"/>
        <w:rPr>
          <w:rFonts w:ascii="Times New Roman" w:hAnsi="Times New Roman" w:cs="Times New Roman"/>
          <w:sz w:val="24"/>
          <w:szCs w:val="24"/>
        </w:rPr>
      </w:pPr>
      <w:r w:rsidRPr="00683E6A">
        <w:rPr>
          <w:rFonts w:ascii="Times New Roman" w:hAnsi="Times New Roman" w:cs="Times New Roman"/>
          <w:sz w:val="24"/>
          <w:szCs w:val="24"/>
        </w:rPr>
        <w:t>Competence, Ethics, and Impartiality</w:t>
      </w:r>
    </w:p>
    <w:p w:rsidR="00683E6A" w:rsidRPr="00683E6A" w:rsidRDefault="00A35812" w:rsidP="00683E6A">
      <w:pPr>
        <w:pStyle w:val="ListParagraph"/>
        <w:numPr>
          <w:ilvl w:val="0"/>
          <w:numId w:val="2"/>
        </w:numPr>
        <w:spacing w:line="360" w:lineRule="auto"/>
        <w:rPr>
          <w:rFonts w:ascii="Times New Roman" w:hAnsi="Times New Roman" w:cs="Times New Roman"/>
          <w:sz w:val="24"/>
          <w:szCs w:val="24"/>
        </w:rPr>
      </w:pPr>
      <w:r w:rsidRPr="00683E6A">
        <w:rPr>
          <w:rFonts w:ascii="Times New Roman" w:hAnsi="Times New Roman" w:cs="Times New Roman"/>
          <w:sz w:val="24"/>
          <w:szCs w:val="24"/>
        </w:rPr>
        <w:t xml:space="preserve">Protection </w:t>
      </w:r>
      <w:r w:rsidRPr="00683E6A">
        <w:rPr>
          <w:rFonts w:ascii="Times New Roman" w:hAnsi="Times New Roman" w:cs="Times New Roman"/>
          <w:sz w:val="24"/>
          <w:szCs w:val="24"/>
        </w:rPr>
        <w:t>of Public Interest and Legal Compliance</w:t>
      </w:r>
    </w:p>
    <w:p w:rsidR="00683E6A" w:rsidRDefault="00A35812" w:rsidP="00683E6A">
      <w:pPr>
        <w:pStyle w:val="ListParagraph"/>
        <w:numPr>
          <w:ilvl w:val="0"/>
          <w:numId w:val="2"/>
        </w:numPr>
        <w:spacing w:line="360" w:lineRule="auto"/>
        <w:rPr>
          <w:rFonts w:ascii="Times New Roman" w:hAnsi="Times New Roman" w:cs="Times New Roman"/>
          <w:sz w:val="24"/>
          <w:szCs w:val="24"/>
        </w:rPr>
      </w:pPr>
      <w:r w:rsidRPr="00683E6A">
        <w:rPr>
          <w:rFonts w:ascii="Times New Roman" w:hAnsi="Times New Roman" w:cs="Times New Roman"/>
          <w:sz w:val="24"/>
          <w:szCs w:val="24"/>
        </w:rPr>
        <w:t>Responsibility to Employers and Clients</w:t>
      </w:r>
    </w:p>
    <w:p w:rsidR="00683E6A" w:rsidRPr="00683E6A" w:rsidRDefault="00A35812" w:rsidP="00683E6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Third party data protection policies.</w:t>
      </w:r>
    </w:p>
    <w:p w:rsidR="00BF7ED7" w:rsidRDefault="00BF7ED7" w:rsidP="00683E6A">
      <w:pPr>
        <w:spacing w:line="480" w:lineRule="auto"/>
        <w:jc w:val="center"/>
        <w:rPr>
          <w:rFonts w:ascii="Times New Roman" w:hAnsi="Times New Roman" w:cs="Times New Roman"/>
          <w:sz w:val="24"/>
          <w:szCs w:val="24"/>
        </w:rPr>
      </w:pPr>
    </w:p>
    <w:p w:rsidR="00BF7ED7" w:rsidRDefault="00BF7ED7" w:rsidP="00683E6A">
      <w:pPr>
        <w:spacing w:line="480" w:lineRule="auto"/>
        <w:jc w:val="center"/>
        <w:rPr>
          <w:rFonts w:ascii="Times New Roman" w:hAnsi="Times New Roman" w:cs="Times New Roman"/>
          <w:sz w:val="24"/>
          <w:szCs w:val="24"/>
        </w:rPr>
      </w:pPr>
    </w:p>
    <w:p w:rsidR="00FE3162" w:rsidRDefault="00A35812" w:rsidP="00683E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83E6A" w:rsidRPr="00683E6A" w:rsidRDefault="00A35812" w:rsidP="00683E6A">
      <w:pPr>
        <w:spacing w:line="480" w:lineRule="auto"/>
        <w:ind w:left="720" w:hanging="720"/>
        <w:rPr>
          <w:rFonts w:ascii="Times New Roman" w:hAnsi="Times New Roman" w:cs="Times New Roman"/>
          <w:sz w:val="24"/>
          <w:szCs w:val="24"/>
        </w:rPr>
      </w:pPr>
      <w:r w:rsidRPr="00683E6A">
        <w:rPr>
          <w:rFonts w:ascii="Times New Roman" w:hAnsi="Times New Roman" w:cs="Times New Roman"/>
          <w:sz w:val="24"/>
          <w:szCs w:val="24"/>
        </w:rPr>
        <w:t>Maras, M. H. (2015). Computer Forensics. Jones and Bartlett Learning.</w:t>
      </w:r>
    </w:p>
    <w:p w:rsidR="00683E6A" w:rsidRPr="00683E6A" w:rsidRDefault="00A35812" w:rsidP="00683E6A">
      <w:pPr>
        <w:spacing w:line="480" w:lineRule="auto"/>
        <w:ind w:left="720" w:hanging="720"/>
        <w:rPr>
          <w:rFonts w:ascii="Times New Roman" w:hAnsi="Times New Roman" w:cs="Times New Roman"/>
          <w:sz w:val="24"/>
          <w:szCs w:val="24"/>
        </w:rPr>
      </w:pPr>
      <w:r w:rsidRPr="00683E6A">
        <w:rPr>
          <w:rFonts w:ascii="Times New Roman" w:hAnsi="Times New Roman" w:cs="Times New Roman"/>
          <w:sz w:val="24"/>
          <w:szCs w:val="24"/>
        </w:rPr>
        <w:t>Murtagh, M. J., Blell, M. T., Butters, O. W., Cowley, L.,</w:t>
      </w:r>
      <w:r w:rsidRPr="00683E6A">
        <w:rPr>
          <w:rFonts w:ascii="Times New Roman" w:hAnsi="Times New Roman" w:cs="Times New Roman"/>
          <w:sz w:val="24"/>
          <w:szCs w:val="24"/>
        </w:rPr>
        <w:t xml:space="preserve"> Dove, E. S., Goodman, A., ... &amp; Mangino, M. (2018). Better governance, better access: practicing responsible data sharing in the METADAC governance infrastructure. Human genomics, 12(1), 24.</w:t>
      </w:r>
    </w:p>
    <w:p w:rsidR="00683E6A" w:rsidRDefault="00A35812" w:rsidP="00683E6A">
      <w:pPr>
        <w:spacing w:line="480" w:lineRule="auto"/>
        <w:ind w:left="720" w:hanging="720"/>
        <w:rPr>
          <w:rFonts w:ascii="Times New Roman" w:hAnsi="Times New Roman" w:cs="Times New Roman"/>
          <w:sz w:val="24"/>
          <w:szCs w:val="24"/>
        </w:rPr>
      </w:pPr>
      <w:r w:rsidRPr="00683E6A">
        <w:rPr>
          <w:rFonts w:ascii="Times New Roman" w:hAnsi="Times New Roman" w:cs="Times New Roman"/>
          <w:sz w:val="24"/>
          <w:szCs w:val="24"/>
        </w:rPr>
        <w:t>Pol, B. H. T. (2016). Information Governance Policy. Assessment.</w:t>
      </w:r>
    </w:p>
    <w:p w:rsidR="00347D18" w:rsidRDefault="00347D18" w:rsidP="00347D18">
      <w:pPr>
        <w:spacing w:line="480" w:lineRule="auto"/>
        <w:rPr>
          <w:rFonts w:ascii="Times New Roman" w:hAnsi="Times New Roman" w:cs="Times New Roman"/>
          <w:sz w:val="24"/>
          <w:szCs w:val="24"/>
        </w:rPr>
      </w:pPr>
    </w:p>
    <w:p w:rsidR="00FF0FA8" w:rsidRDefault="00FF0FA8" w:rsidP="005E6C19">
      <w:pPr>
        <w:spacing w:line="480" w:lineRule="auto"/>
        <w:ind w:firstLine="720"/>
        <w:rPr>
          <w:rFonts w:ascii="Times New Roman" w:hAnsi="Times New Roman" w:cs="Times New Roman"/>
          <w:sz w:val="24"/>
          <w:szCs w:val="24"/>
        </w:rPr>
      </w:pPr>
    </w:p>
    <w:p w:rsidR="005E6C19" w:rsidRPr="00630630" w:rsidRDefault="005E6C19" w:rsidP="005E6C19">
      <w:pPr>
        <w:spacing w:line="480" w:lineRule="auto"/>
        <w:ind w:firstLine="720"/>
        <w:jc w:val="center"/>
        <w:rPr>
          <w:rFonts w:ascii="Times New Roman" w:hAnsi="Times New Roman" w:cs="Times New Roman"/>
          <w:sz w:val="24"/>
          <w:szCs w:val="24"/>
        </w:rPr>
      </w:pPr>
    </w:p>
    <w:p w:rsidR="00630630" w:rsidRDefault="00630630" w:rsidP="00630630">
      <w:pPr>
        <w:spacing w:line="480" w:lineRule="auto"/>
        <w:rPr>
          <w:rFonts w:ascii="Times New Roman" w:hAnsi="Times New Roman" w:cs="Times New Roman"/>
          <w:sz w:val="24"/>
          <w:szCs w:val="24"/>
        </w:rPr>
      </w:pPr>
    </w:p>
    <w:p w:rsidR="00D24C2F" w:rsidRPr="00C94AC3" w:rsidRDefault="00D24C2F" w:rsidP="004E5404">
      <w:pPr>
        <w:spacing w:line="480" w:lineRule="auto"/>
        <w:ind w:firstLine="720"/>
        <w:rPr>
          <w:rFonts w:ascii="Times New Roman" w:hAnsi="Times New Roman" w:cs="Times New Roman"/>
          <w:sz w:val="24"/>
          <w:szCs w:val="24"/>
        </w:rPr>
      </w:pPr>
    </w:p>
    <w:sectPr w:rsidR="00D24C2F" w:rsidRPr="00C94AC3" w:rsidSect="00C94A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12" w:rsidRDefault="00A35812">
      <w:pPr>
        <w:spacing w:after="0" w:line="240" w:lineRule="auto"/>
      </w:pPr>
      <w:r>
        <w:separator/>
      </w:r>
    </w:p>
  </w:endnote>
  <w:endnote w:type="continuationSeparator" w:id="0">
    <w:p w:rsidR="00A35812" w:rsidRDefault="00A3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12" w:rsidRDefault="00A35812">
      <w:pPr>
        <w:spacing w:after="0" w:line="240" w:lineRule="auto"/>
      </w:pPr>
      <w:r>
        <w:separator/>
      </w:r>
    </w:p>
  </w:footnote>
  <w:footnote w:type="continuationSeparator" w:id="0">
    <w:p w:rsidR="00A35812" w:rsidRDefault="00A35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53226"/>
      <w:docPartObj>
        <w:docPartGallery w:val="Page Numbers (Top of Page)"/>
        <w:docPartUnique/>
      </w:docPartObj>
    </w:sdtPr>
    <w:sdtEndPr>
      <w:rPr>
        <w:noProof/>
      </w:rPr>
    </w:sdtEndPr>
    <w:sdtContent>
      <w:p w:rsidR="00C94AC3" w:rsidRDefault="00A35812">
        <w:pPr>
          <w:pStyle w:val="Header"/>
          <w:jc w:val="right"/>
        </w:pPr>
        <w:r w:rsidRPr="00C94AC3">
          <w:rPr>
            <w:rFonts w:ascii="Times New Roman" w:hAnsi="Times New Roman" w:cs="Times New Roman"/>
            <w:sz w:val="24"/>
            <w:szCs w:val="24"/>
          </w:rPr>
          <w:t>IT GOVERNANCE POLICIES AND PROCEDURES</w:t>
        </w:r>
        <w:r>
          <w:t xml:space="preserve">                                                                         </w:t>
        </w:r>
        <w:r>
          <w:fldChar w:fldCharType="begin"/>
        </w:r>
        <w:r>
          <w:instrText xml:space="preserve"> PAGE   \* MERGEFORMAT </w:instrText>
        </w:r>
        <w:r>
          <w:fldChar w:fldCharType="separate"/>
        </w:r>
        <w:r w:rsidR="00BF7ED7">
          <w:rPr>
            <w:noProof/>
          </w:rPr>
          <w:t>2</w:t>
        </w:r>
        <w:r>
          <w:rPr>
            <w:noProof/>
          </w:rPr>
          <w:fldChar w:fldCharType="end"/>
        </w:r>
      </w:p>
    </w:sdtContent>
  </w:sdt>
  <w:p w:rsidR="00C94AC3" w:rsidRDefault="00C94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3" w:rsidRDefault="00A35812">
    <w:pPr>
      <w:pStyle w:val="Header"/>
      <w:jc w:val="right"/>
    </w:pPr>
    <w:r>
      <w:rPr>
        <w:rFonts w:ascii="Times New Roman" w:hAnsi="Times New Roman" w:cs="Times New Roman"/>
        <w:sz w:val="24"/>
        <w:szCs w:val="24"/>
      </w:rPr>
      <w:t>Run</w:t>
    </w:r>
    <w:r w:rsidRPr="00C94AC3">
      <w:rPr>
        <w:rFonts w:ascii="Times New Roman" w:hAnsi="Times New Roman" w:cs="Times New Roman"/>
        <w:sz w:val="24"/>
        <w:szCs w:val="24"/>
      </w:rPr>
      <w:t xml:space="preserve">ning Head: IT GOVERNANCE POLICIES </w:t>
    </w:r>
    <w:r w:rsidRPr="00C94AC3">
      <w:rPr>
        <w:rFonts w:ascii="Times New Roman" w:hAnsi="Times New Roman" w:cs="Times New Roman"/>
        <w:sz w:val="24"/>
        <w:szCs w:val="24"/>
      </w:rPr>
      <w:t>AND PROCEDURES</w:t>
    </w:r>
    <w:r>
      <w:t xml:space="preserve">                                   </w:t>
    </w:r>
    <w:sdt>
      <w:sdtPr>
        <w:id w:val="-1325651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7ED7">
          <w:rPr>
            <w:noProof/>
          </w:rPr>
          <w:t>1</w:t>
        </w:r>
        <w:r>
          <w:rPr>
            <w:noProof/>
          </w:rPr>
          <w:fldChar w:fldCharType="end"/>
        </w:r>
      </w:sdtContent>
    </w:sdt>
  </w:p>
  <w:p w:rsidR="00C94AC3" w:rsidRDefault="00C94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0ADE"/>
    <w:multiLevelType w:val="multilevel"/>
    <w:tmpl w:val="3AE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95D18"/>
    <w:multiLevelType w:val="hybridMultilevel"/>
    <w:tmpl w:val="64847A62"/>
    <w:lvl w:ilvl="0" w:tplc="5B5C5C38">
      <w:start w:val="1"/>
      <w:numFmt w:val="bullet"/>
      <w:lvlText w:val=""/>
      <w:lvlJc w:val="left"/>
      <w:pPr>
        <w:ind w:left="720" w:hanging="360"/>
      </w:pPr>
      <w:rPr>
        <w:rFonts w:ascii="Symbol" w:hAnsi="Symbol" w:hint="default"/>
      </w:rPr>
    </w:lvl>
    <w:lvl w:ilvl="1" w:tplc="696E3F9A" w:tentative="1">
      <w:start w:val="1"/>
      <w:numFmt w:val="bullet"/>
      <w:lvlText w:val="o"/>
      <w:lvlJc w:val="left"/>
      <w:pPr>
        <w:ind w:left="1440" w:hanging="360"/>
      </w:pPr>
      <w:rPr>
        <w:rFonts w:ascii="Courier New" w:hAnsi="Courier New" w:cs="Courier New" w:hint="default"/>
      </w:rPr>
    </w:lvl>
    <w:lvl w:ilvl="2" w:tplc="555C268A" w:tentative="1">
      <w:start w:val="1"/>
      <w:numFmt w:val="bullet"/>
      <w:lvlText w:val=""/>
      <w:lvlJc w:val="left"/>
      <w:pPr>
        <w:ind w:left="2160" w:hanging="360"/>
      </w:pPr>
      <w:rPr>
        <w:rFonts w:ascii="Wingdings" w:hAnsi="Wingdings" w:hint="default"/>
      </w:rPr>
    </w:lvl>
    <w:lvl w:ilvl="3" w:tplc="C77A2A76" w:tentative="1">
      <w:start w:val="1"/>
      <w:numFmt w:val="bullet"/>
      <w:lvlText w:val=""/>
      <w:lvlJc w:val="left"/>
      <w:pPr>
        <w:ind w:left="2880" w:hanging="360"/>
      </w:pPr>
      <w:rPr>
        <w:rFonts w:ascii="Symbol" w:hAnsi="Symbol" w:hint="default"/>
      </w:rPr>
    </w:lvl>
    <w:lvl w:ilvl="4" w:tplc="52F88CC8" w:tentative="1">
      <w:start w:val="1"/>
      <w:numFmt w:val="bullet"/>
      <w:lvlText w:val="o"/>
      <w:lvlJc w:val="left"/>
      <w:pPr>
        <w:ind w:left="3600" w:hanging="360"/>
      </w:pPr>
      <w:rPr>
        <w:rFonts w:ascii="Courier New" w:hAnsi="Courier New" w:cs="Courier New" w:hint="default"/>
      </w:rPr>
    </w:lvl>
    <w:lvl w:ilvl="5" w:tplc="7B1A0424" w:tentative="1">
      <w:start w:val="1"/>
      <w:numFmt w:val="bullet"/>
      <w:lvlText w:val=""/>
      <w:lvlJc w:val="left"/>
      <w:pPr>
        <w:ind w:left="4320" w:hanging="360"/>
      </w:pPr>
      <w:rPr>
        <w:rFonts w:ascii="Wingdings" w:hAnsi="Wingdings" w:hint="default"/>
      </w:rPr>
    </w:lvl>
    <w:lvl w:ilvl="6" w:tplc="19201E86" w:tentative="1">
      <w:start w:val="1"/>
      <w:numFmt w:val="bullet"/>
      <w:lvlText w:val=""/>
      <w:lvlJc w:val="left"/>
      <w:pPr>
        <w:ind w:left="5040" w:hanging="360"/>
      </w:pPr>
      <w:rPr>
        <w:rFonts w:ascii="Symbol" w:hAnsi="Symbol" w:hint="default"/>
      </w:rPr>
    </w:lvl>
    <w:lvl w:ilvl="7" w:tplc="6060A622" w:tentative="1">
      <w:start w:val="1"/>
      <w:numFmt w:val="bullet"/>
      <w:lvlText w:val="o"/>
      <w:lvlJc w:val="left"/>
      <w:pPr>
        <w:ind w:left="5760" w:hanging="360"/>
      </w:pPr>
      <w:rPr>
        <w:rFonts w:ascii="Courier New" w:hAnsi="Courier New" w:cs="Courier New" w:hint="default"/>
      </w:rPr>
    </w:lvl>
    <w:lvl w:ilvl="8" w:tplc="FA5C493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C3"/>
    <w:rsid w:val="0012617A"/>
    <w:rsid w:val="001F7C8B"/>
    <w:rsid w:val="002C279D"/>
    <w:rsid w:val="00347D18"/>
    <w:rsid w:val="003B500F"/>
    <w:rsid w:val="004E5404"/>
    <w:rsid w:val="00530147"/>
    <w:rsid w:val="005E6C19"/>
    <w:rsid w:val="00630630"/>
    <w:rsid w:val="00683E6A"/>
    <w:rsid w:val="006B7EC7"/>
    <w:rsid w:val="00962B64"/>
    <w:rsid w:val="009B7129"/>
    <w:rsid w:val="00A35812"/>
    <w:rsid w:val="00A76094"/>
    <w:rsid w:val="00B741B0"/>
    <w:rsid w:val="00BF7ED7"/>
    <w:rsid w:val="00C05685"/>
    <w:rsid w:val="00C94AC3"/>
    <w:rsid w:val="00D24C2F"/>
    <w:rsid w:val="00FE3162"/>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A302-3758-4F99-AB30-141D7DF8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E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C3"/>
  </w:style>
  <w:style w:type="paragraph" w:styleId="Footer">
    <w:name w:val="footer"/>
    <w:basedOn w:val="Normal"/>
    <w:link w:val="FooterChar"/>
    <w:uiPriority w:val="99"/>
    <w:unhideWhenUsed/>
    <w:rsid w:val="00C94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C3"/>
  </w:style>
  <w:style w:type="paragraph" w:styleId="ListParagraph">
    <w:name w:val="List Paragraph"/>
    <w:basedOn w:val="Normal"/>
    <w:uiPriority w:val="34"/>
    <w:qFormat/>
    <w:rsid w:val="00683E6A"/>
    <w:pPr>
      <w:ind w:left="720"/>
      <w:contextualSpacing/>
    </w:pPr>
  </w:style>
  <w:style w:type="character" w:customStyle="1" w:styleId="Heading1Char">
    <w:name w:val="Heading 1 Char"/>
    <w:basedOn w:val="DefaultParagraphFont"/>
    <w:link w:val="Heading1"/>
    <w:uiPriority w:val="9"/>
    <w:rsid w:val="00BF7E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7ED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F7ED7"/>
    <w:pPr>
      <w:outlineLvl w:val="9"/>
    </w:pPr>
  </w:style>
  <w:style w:type="paragraph" w:styleId="TOC1">
    <w:name w:val="toc 1"/>
    <w:basedOn w:val="Normal"/>
    <w:next w:val="Normal"/>
    <w:autoRedefine/>
    <w:uiPriority w:val="39"/>
    <w:unhideWhenUsed/>
    <w:rsid w:val="00BF7ED7"/>
    <w:pPr>
      <w:spacing w:after="100"/>
    </w:pPr>
  </w:style>
  <w:style w:type="paragraph" w:styleId="TOC2">
    <w:name w:val="toc 2"/>
    <w:basedOn w:val="Normal"/>
    <w:next w:val="Normal"/>
    <w:autoRedefine/>
    <w:uiPriority w:val="39"/>
    <w:unhideWhenUsed/>
    <w:rsid w:val="00BF7ED7"/>
    <w:pPr>
      <w:spacing w:after="100"/>
      <w:ind w:left="220"/>
    </w:pPr>
  </w:style>
  <w:style w:type="character" w:styleId="Hyperlink">
    <w:name w:val="Hyperlink"/>
    <w:basedOn w:val="DefaultParagraphFont"/>
    <w:uiPriority w:val="99"/>
    <w:unhideWhenUsed/>
    <w:rsid w:val="00BF7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CC2F-1736-4279-9EF7-869806D4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2019-03-05T05:57:00Z</dcterms:created>
  <dcterms:modified xsi:type="dcterms:W3CDTF">2019-03-05T14:27:00Z</dcterms:modified>
</cp:coreProperties>
</file>