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23D" w:rsidRDefault="00F77C91">
      <w:pPr>
        <w:pBdr>
          <w:top w:val="none" w:sz="0" w:space="5" w:color="auto"/>
          <w:right w:val="none" w:sz="0" w:space="11" w:color="auto"/>
        </w:pBdr>
        <w:shd w:val="clear" w:color="auto" w:fill="F5F5F5"/>
        <w:spacing w:line="432" w:lineRule="auto"/>
        <w:contextualSpacing w:val="0"/>
        <w:rPr>
          <w:rFonts w:ascii="Times New Roman" w:eastAsia="Times New Roman" w:hAnsi="Times New Roman" w:cs="Times New Roman"/>
          <w:color w:val="303030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Some consumers like to travel and others find traveling a royal pain. Traveling presents consumers with a host of situations that can alter a service’s value. Let’s consider breakfast. How much is too much to pay for a nice breakfast with bacon, eggs, coff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ee, and juice? After tax and tip, this comes to $10 at Waffle House. That may not seem like too much, and many travelers visit Waffle House every day. How does $45 sound? Ordinarily, $45 would seem like a very high price to pay for breakfast. But for the m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illions of consumers who attend conventions and conferences in major cities each day, a $45 breakfast, usually not cooked to order, is more the rule than the exception. The food and beverages that associations purchase for their convention delegates repres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ent a major source of revenue for hotels. Any convention planner knows that breakfast for the delegates can easily cost $45 a person. The hotel may list the price at just over $30, but the built-in service charge will top 20%, and taxes often are 10% or mo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re. How can breakfast be worth so much?</w:t>
      </w:r>
    </w:p>
    <w:p w:rsidR="00B7223D" w:rsidRDefault="00F77C91">
      <w:pPr>
        <w:pBdr>
          <w:top w:val="none" w:sz="0" w:space="5" w:color="auto"/>
          <w:right w:val="none" w:sz="0" w:space="11" w:color="auto"/>
        </w:pBdr>
        <w:shd w:val="clear" w:color="auto" w:fill="F5F5F5"/>
        <w:spacing w:line="432" w:lineRule="auto"/>
        <w:contextualSpacing w:val="0"/>
        <w:rPr>
          <w:rFonts w:ascii="Times New Roman" w:eastAsia="Times New Roman" w:hAnsi="Times New Roman" w:cs="Times New Roman"/>
          <w:color w:val="303030"/>
          <w:sz w:val="18"/>
          <w:szCs w:val="18"/>
        </w:rPr>
      </w:pP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A partial list of considerations that might shape value for travelers and other consumers includes:</w:t>
      </w:r>
    </w:p>
    <w:p w:rsidR="00B7223D" w:rsidRDefault="00F77C91">
      <w:pPr>
        <w:numPr>
          <w:ilvl w:val="0"/>
          <w:numId w:val="1"/>
        </w:numPr>
        <w:spacing w:before="440" w:after="600" w:line="360" w:lineRule="auto"/>
        <w:ind w:left="0" w:right="22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Is someone else (a third-party payer) completely or partially subsidizing the consumption?</w:t>
      </w:r>
    </w:p>
    <w:p w:rsidR="00B7223D" w:rsidRDefault="00F77C91">
      <w:pPr>
        <w:numPr>
          <w:ilvl w:val="0"/>
          <w:numId w:val="1"/>
        </w:numPr>
        <w:spacing w:before="440" w:after="600" w:line="360" w:lineRule="auto"/>
        <w:ind w:left="0" w:right="22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 xml:space="preserve">Is the consumer alone or </w:t>
      </w: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with others?</w:t>
      </w:r>
    </w:p>
    <w:p w:rsidR="00B7223D" w:rsidRDefault="00F77C91">
      <w:pPr>
        <w:numPr>
          <w:ilvl w:val="0"/>
          <w:numId w:val="1"/>
        </w:numPr>
        <w:spacing w:before="440" w:after="600" w:line="360" w:lineRule="auto"/>
        <w:ind w:left="0" w:right="22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What are the economic conditions like?</w:t>
      </w:r>
    </w:p>
    <w:p w:rsidR="00B7223D" w:rsidRDefault="00F77C91">
      <w:pPr>
        <w:numPr>
          <w:ilvl w:val="0"/>
          <w:numId w:val="1"/>
        </w:numPr>
        <w:spacing w:before="440" w:after="600" w:line="360" w:lineRule="auto"/>
        <w:ind w:left="0" w:right="22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How much time is the consumer spending in the location?</w:t>
      </w:r>
    </w:p>
    <w:p w:rsidR="00B7223D" w:rsidRDefault="00F77C91">
      <w:pPr>
        <w:numPr>
          <w:ilvl w:val="0"/>
          <w:numId w:val="1"/>
        </w:numPr>
        <w:spacing w:before="440" w:after="600" w:line="360" w:lineRule="auto"/>
        <w:ind w:left="0" w:right="22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If traveling abroad, what is the exchange rate?</w:t>
      </w:r>
    </w:p>
    <w:p w:rsidR="00B7223D" w:rsidRDefault="00F77C91">
      <w:pPr>
        <w:numPr>
          <w:ilvl w:val="0"/>
          <w:numId w:val="1"/>
        </w:numPr>
        <w:spacing w:before="440" w:after="600" w:line="360" w:lineRule="auto"/>
        <w:ind w:left="0" w:right="22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How is the consumer paying for things?</w:t>
      </w:r>
    </w:p>
    <w:p w:rsidR="00B7223D" w:rsidRDefault="00F77C91">
      <w:pPr>
        <w:numPr>
          <w:ilvl w:val="0"/>
          <w:numId w:val="1"/>
        </w:numPr>
        <w:spacing w:before="440" w:after="600" w:line="360" w:lineRule="auto"/>
        <w:ind w:left="0" w:right="22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Are any items like hotel rooms prepaid?</w:t>
      </w:r>
    </w:p>
    <w:p w:rsidR="00B7223D" w:rsidRDefault="00F77C91">
      <w:pPr>
        <w:numPr>
          <w:ilvl w:val="0"/>
          <w:numId w:val="1"/>
        </w:numPr>
        <w:spacing w:before="440" w:after="600" w:line="360" w:lineRule="auto"/>
        <w:ind w:left="0" w:right="220" w:firstLine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Can the consumer acce</w:t>
      </w:r>
      <w:r>
        <w:rPr>
          <w:rFonts w:ascii="Times New Roman" w:eastAsia="Times New Roman" w:hAnsi="Times New Roman" w:cs="Times New Roman"/>
          <w:color w:val="4A4A4A"/>
          <w:sz w:val="18"/>
          <w:szCs w:val="18"/>
        </w:rPr>
        <w:t>ss reviews online?</w:t>
      </w:r>
    </w:p>
    <w:p w:rsidR="00B7223D" w:rsidRDefault="00F77C91">
      <w:pPr>
        <w:pBdr>
          <w:top w:val="none" w:sz="0" w:space="5" w:color="auto"/>
          <w:right w:val="none" w:sz="0" w:space="11" w:color="auto"/>
        </w:pBdr>
        <w:shd w:val="clear" w:color="auto" w:fill="F5F5F5"/>
        <w:spacing w:line="432" w:lineRule="auto"/>
        <w:contextualSpacing w:val="0"/>
        <w:rPr>
          <w:rFonts w:ascii="Times New Roman" w:eastAsia="Times New Roman" w:hAnsi="Times New Roman" w:cs="Times New Roman"/>
          <w:color w:val="303030"/>
          <w:sz w:val="18"/>
          <w:szCs w:val="18"/>
        </w:rPr>
      </w:pP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In the case of the $45 breakfast, the convention attendee is not paying for the breakfast, although he/she may pay registration to attend the convention. If the association is not supplying breakfast, the consumer may still take the brea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kfast buffet in the hotel restaurant, which may only run about $35. One might think about whether that can go on the expense account before heading to the restaurant. If not, there’s almost certainly a coffee shop or fast-food option nearby in a major city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, maybe even a Waffle House. The handy Waffle House Locator app may help save $25!</w:t>
      </w:r>
    </w:p>
    <w:p w:rsidR="00B7223D" w:rsidRDefault="00F77C91">
      <w:pPr>
        <w:spacing w:before="660" w:line="300" w:lineRule="auto"/>
        <w:ind w:right="380"/>
        <w:contextualSpacing w:val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11-1a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Situations and Value</w:t>
      </w:r>
    </w:p>
    <w:p w:rsidR="00B7223D" w:rsidRDefault="00F77C91">
      <w:pPr>
        <w:pBdr>
          <w:top w:val="none" w:sz="0" w:space="5" w:color="auto"/>
          <w:right w:val="none" w:sz="0" w:space="11" w:color="auto"/>
        </w:pBdr>
        <w:shd w:val="clear" w:color="auto" w:fill="F5F5F5"/>
        <w:spacing w:line="432" w:lineRule="auto"/>
        <w:contextualSpacing w:val="0"/>
        <w:rPr>
          <w:rFonts w:ascii="Times New Roman" w:eastAsia="Times New Roman" w:hAnsi="Times New Roman" w:cs="Times New Roman"/>
          <w:color w:val="303030"/>
          <w:sz w:val="18"/>
          <w:szCs w:val="18"/>
        </w:rPr>
      </w:pP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This chapter focuses on precisely how the value a consumer obtains from a purchase or consumption act varies based on the context in which the act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 takes place. </w:t>
      </w:r>
      <w:r>
        <w:rPr>
          <w:rFonts w:ascii="Times New Roman" w:eastAsia="Times New Roman" w:hAnsi="Times New Roman" w:cs="Times New Roman"/>
          <w:i/>
          <w:color w:val="303030"/>
          <w:sz w:val="18"/>
          <w:szCs w:val="18"/>
        </w:rPr>
        <w:t>Situational influences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 is the term that captures these contextual effects, meaning effects independent of enduring consumer, brand, or product characteristics. As can be seen in the CVF framework, situational influences directly affect both c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onsumer decision making and the eventual value </w:t>
      </w:r>
      <w:proofErr w:type="spellStart"/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experienced.Situational</w:t>
      </w:r>
      <w:proofErr w:type="spellEnd"/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 influences are enduring characteristics of neither a particular consumer nor a product or brand. Indeed, situational influences are ephemeral, meaning they are temporary conditions in a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 very real sense. Contexts can affect communication, shopping, brand preference, purchase, actual consumption, and the evaluation of that consumption.</w:t>
      </w:r>
    </w:p>
    <w:p w:rsidR="00B7223D" w:rsidRDefault="00F77C91">
      <w:pPr>
        <w:pBdr>
          <w:top w:val="none" w:sz="0" w:space="5" w:color="auto"/>
          <w:right w:val="none" w:sz="0" w:space="11" w:color="auto"/>
        </w:pBdr>
        <w:shd w:val="clear" w:color="auto" w:fill="F5F5F5"/>
        <w:spacing w:line="432" w:lineRule="auto"/>
        <w:contextualSpacing w:val="0"/>
        <w:rPr>
          <w:rFonts w:ascii="Times New Roman" w:eastAsia="Times New Roman" w:hAnsi="Times New Roman" w:cs="Times New Roman"/>
          <w:color w:val="303030"/>
          <w:sz w:val="18"/>
          <w:szCs w:val="18"/>
        </w:rPr>
      </w:pP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The movie theater experience typifies situational influences. If the movie is a matinee, the consumer exp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ects to pay a lower price than he would pay in the evening. Even though the movie hasn’t changed, the number of people available to go to the movie has 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lastRenderedPageBreak/>
        <w:t>changed from the evening hours. Therefore, the lower demand entices the theater to offer lower prices. F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ar fewer people work in the evenings, and thus more people are free to take in a movie.</w:t>
      </w:r>
    </w:p>
    <w:p w:rsidR="00B7223D" w:rsidRDefault="00F77C91">
      <w:pPr>
        <w:pBdr>
          <w:top w:val="none" w:sz="0" w:space="5" w:color="auto"/>
          <w:right w:val="none" w:sz="0" w:space="11" w:color="auto"/>
        </w:pBdr>
        <w:shd w:val="clear" w:color="auto" w:fill="F5F5F5"/>
        <w:spacing w:line="432" w:lineRule="auto"/>
        <w:contextualSpacing w:val="0"/>
        <w:rPr>
          <w:rFonts w:ascii="Times New Roman" w:eastAsia="Times New Roman" w:hAnsi="Times New Roman" w:cs="Times New Roman"/>
          <w:color w:val="303030"/>
          <w:sz w:val="18"/>
          <w:szCs w:val="18"/>
        </w:rPr>
      </w:pP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How much is too much for one margarita? Consumers attending an event at the $1 billion AT&amp;T Stadium for the Dallas Cowboys must think a margarita, or a “Cowboy” Rita, i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s worth at least $16.Each time a big game is played there, consumers buy thousands of “Cowboy” </w:t>
      </w:r>
      <w:proofErr w:type="spellStart"/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>Ritas</w:t>
      </w:r>
      <w:proofErr w:type="spellEnd"/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 at $16.Outside the stadium, the consumer could mix a margarita for a couple of dollars. However, management does not allow consumers to bring those inside,</w:t>
      </w:r>
      <w:r>
        <w:rPr>
          <w:rFonts w:ascii="Times New Roman" w:eastAsia="Times New Roman" w:hAnsi="Times New Roman" w:cs="Times New Roman"/>
          <w:color w:val="303030"/>
          <w:sz w:val="18"/>
          <w:szCs w:val="18"/>
        </w:rPr>
        <w:t xml:space="preserve"> so the convenience factors, along with the souvenir cowboy boot cup, add to its value. Situational influences change the desirability of consuming things and therefore change the value of these things.</w:t>
      </w:r>
    </w:p>
    <w:p w:rsidR="00B7223D" w:rsidRDefault="00B7223D">
      <w:pPr>
        <w:contextualSpacing w:val="0"/>
        <w:rPr>
          <w:rFonts w:ascii="Times New Roman" w:eastAsia="Times New Roman" w:hAnsi="Times New Roman" w:cs="Times New Roman"/>
          <w:sz w:val="18"/>
          <w:szCs w:val="18"/>
        </w:rPr>
      </w:pPr>
    </w:p>
    <w:sectPr w:rsidR="00B7223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00E21"/>
    <w:multiLevelType w:val="multilevel"/>
    <w:tmpl w:val="56E03F68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4A4A4A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3D"/>
    <w:rsid w:val="00B7223D"/>
    <w:rsid w:val="00F7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67BF0D-9862-47DD-BA10-07F69B7B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augky</dc:creator>
  <cp:lastModifiedBy>kyeem z</cp:lastModifiedBy>
  <cp:revision>2</cp:revision>
  <dcterms:created xsi:type="dcterms:W3CDTF">2019-04-07T04:33:00Z</dcterms:created>
  <dcterms:modified xsi:type="dcterms:W3CDTF">2019-04-07T04:33:00Z</dcterms:modified>
</cp:coreProperties>
</file>