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4A0D" w14:textId="528D5BC6" w:rsidR="00E86607" w:rsidRPr="00E84CDE" w:rsidRDefault="00E86607" w:rsidP="00E86607">
      <w:pPr>
        <w:jc w:val="center"/>
        <w:rPr>
          <w:rFonts w:ascii="Times New Roman" w:hAnsi="Times New Roman" w:cs="Times New Roman"/>
          <w:sz w:val="24"/>
          <w:szCs w:val="24"/>
        </w:rPr>
      </w:pPr>
      <w:bookmarkStart w:id="0" w:name="_GoBack"/>
      <w:bookmarkEnd w:id="0"/>
    </w:p>
    <w:p w14:paraId="1406AF72" w14:textId="5F856D32" w:rsidR="00E86607" w:rsidRPr="00E84CDE" w:rsidRDefault="00E86607" w:rsidP="00E86607">
      <w:pPr>
        <w:jc w:val="center"/>
        <w:rPr>
          <w:rFonts w:ascii="Times New Roman" w:hAnsi="Times New Roman" w:cs="Times New Roman"/>
          <w:sz w:val="24"/>
          <w:szCs w:val="24"/>
        </w:rPr>
      </w:pPr>
    </w:p>
    <w:p w14:paraId="1CBB0DA1" w14:textId="4F0693A2" w:rsidR="00E86607" w:rsidRPr="00E84CDE" w:rsidRDefault="00E86607" w:rsidP="00E86607">
      <w:pPr>
        <w:jc w:val="center"/>
        <w:rPr>
          <w:rFonts w:ascii="Times New Roman" w:hAnsi="Times New Roman" w:cs="Times New Roman"/>
          <w:sz w:val="24"/>
          <w:szCs w:val="24"/>
        </w:rPr>
      </w:pPr>
    </w:p>
    <w:p w14:paraId="4A5A85E4" w14:textId="0DCF6614" w:rsidR="00E86607" w:rsidRPr="00E84CDE" w:rsidRDefault="00E86607" w:rsidP="00E86607">
      <w:pPr>
        <w:jc w:val="center"/>
        <w:rPr>
          <w:rFonts w:ascii="Times New Roman" w:hAnsi="Times New Roman" w:cs="Times New Roman"/>
          <w:sz w:val="24"/>
          <w:szCs w:val="24"/>
        </w:rPr>
      </w:pPr>
    </w:p>
    <w:p w14:paraId="688BD678" w14:textId="57AFA531" w:rsidR="00E86607" w:rsidRPr="00E84CDE" w:rsidRDefault="00E86607" w:rsidP="00E86607">
      <w:pPr>
        <w:jc w:val="center"/>
        <w:rPr>
          <w:rFonts w:ascii="Times New Roman" w:hAnsi="Times New Roman" w:cs="Times New Roman"/>
          <w:sz w:val="24"/>
          <w:szCs w:val="24"/>
        </w:rPr>
      </w:pPr>
    </w:p>
    <w:p w14:paraId="08611C59" w14:textId="10894A1E" w:rsidR="00E86607" w:rsidRPr="00E84CDE" w:rsidRDefault="00E86607" w:rsidP="00E86607">
      <w:pPr>
        <w:jc w:val="center"/>
        <w:rPr>
          <w:rFonts w:ascii="Times New Roman" w:hAnsi="Times New Roman" w:cs="Times New Roman"/>
          <w:sz w:val="24"/>
          <w:szCs w:val="24"/>
        </w:rPr>
      </w:pPr>
    </w:p>
    <w:p w14:paraId="7DED14D2" w14:textId="055256BF" w:rsidR="00E86607" w:rsidRPr="00E84CDE" w:rsidRDefault="00E86607" w:rsidP="00E86607">
      <w:pPr>
        <w:jc w:val="center"/>
        <w:rPr>
          <w:rFonts w:ascii="Times New Roman" w:hAnsi="Times New Roman" w:cs="Times New Roman"/>
          <w:i/>
          <w:sz w:val="24"/>
          <w:szCs w:val="24"/>
        </w:rPr>
      </w:pPr>
      <w:r w:rsidRPr="00E84CDE">
        <w:rPr>
          <w:rFonts w:ascii="Times New Roman" w:hAnsi="Times New Roman" w:cs="Times New Roman"/>
          <w:i/>
          <w:sz w:val="24"/>
          <w:szCs w:val="24"/>
        </w:rPr>
        <w:t>Marbury vs. Madison</w:t>
      </w:r>
    </w:p>
    <w:p w14:paraId="42D68D31" w14:textId="2FEA9044" w:rsidR="00E86607" w:rsidRPr="00E84CDE" w:rsidRDefault="00E86607" w:rsidP="00E86607">
      <w:pPr>
        <w:jc w:val="center"/>
        <w:rPr>
          <w:rFonts w:ascii="Times New Roman" w:hAnsi="Times New Roman" w:cs="Times New Roman"/>
          <w:sz w:val="24"/>
          <w:szCs w:val="24"/>
        </w:rPr>
      </w:pPr>
      <w:r w:rsidRPr="00E84CDE">
        <w:rPr>
          <w:rFonts w:ascii="Times New Roman" w:hAnsi="Times New Roman" w:cs="Times New Roman"/>
          <w:sz w:val="24"/>
          <w:szCs w:val="24"/>
        </w:rPr>
        <w:t xml:space="preserve">Professor </w:t>
      </w:r>
      <w:proofErr w:type="spellStart"/>
      <w:r w:rsidRPr="00E84CDE">
        <w:rPr>
          <w:rFonts w:ascii="Times New Roman" w:hAnsi="Times New Roman" w:cs="Times New Roman"/>
          <w:sz w:val="24"/>
          <w:szCs w:val="24"/>
        </w:rPr>
        <w:t>Herdener</w:t>
      </w:r>
      <w:proofErr w:type="spellEnd"/>
    </w:p>
    <w:p w14:paraId="54AD3D78" w14:textId="74FACA97" w:rsidR="00E86607" w:rsidRPr="00E84CDE" w:rsidRDefault="00331462" w:rsidP="00E86607">
      <w:pPr>
        <w:jc w:val="center"/>
        <w:rPr>
          <w:rFonts w:ascii="Times New Roman" w:hAnsi="Times New Roman" w:cs="Times New Roman"/>
          <w:sz w:val="24"/>
          <w:szCs w:val="24"/>
        </w:rPr>
      </w:pPr>
      <w:proofErr w:type="spellStart"/>
      <w:r w:rsidRPr="00E84CDE">
        <w:rPr>
          <w:rFonts w:ascii="Times New Roman" w:hAnsi="Times New Roman" w:cs="Times New Roman"/>
          <w:sz w:val="24"/>
          <w:szCs w:val="24"/>
        </w:rPr>
        <w:t>Travion</w:t>
      </w:r>
      <w:proofErr w:type="spellEnd"/>
      <w:r w:rsidRPr="00E84CDE">
        <w:rPr>
          <w:rFonts w:ascii="Times New Roman" w:hAnsi="Times New Roman" w:cs="Times New Roman"/>
          <w:sz w:val="24"/>
          <w:szCs w:val="24"/>
        </w:rPr>
        <w:t xml:space="preserve"> Smith</w:t>
      </w:r>
    </w:p>
    <w:p w14:paraId="543AF8CB" w14:textId="384155F7" w:rsidR="00331462" w:rsidRPr="00E84CDE" w:rsidRDefault="00331462" w:rsidP="00E86607">
      <w:pPr>
        <w:jc w:val="center"/>
        <w:rPr>
          <w:rFonts w:ascii="Times New Roman" w:hAnsi="Times New Roman" w:cs="Times New Roman"/>
          <w:sz w:val="24"/>
          <w:szCs w:val="24"/>
        </w:rPr>
      </w:pPr>
      <w:r w:rsidRPr="00E84CDE">
        <w:rPr>
          <w:rFonts w:ascii="Times New Roman" w:hAnsi="Times New Roman" w:cs="Times New Roman"/>
          <w:sz w:val="24"/>
          <w:szCs w:val="24"/>
        </w:rPr>
        <w:t>11/15/2018</w:t>
      </w:r>
    </w:p>
    <w:p w14:paraId="3D8BACA9" w14:textId="326BB79F" w:rsidR="00331462" w:rsidRPr="00E84CDE" w:rsidRDefault="00331462" w:rsidP="00E86607">
      <w:pPr>
        <w:jc w:val="center"/>
        <w:rPr>
          <w:rFonts w:ascii="Times New Roman" w:hAnsi="Times New Roman" w:cs="Times New Roman"/>
          <w:sz w:val="24"/>
          <w:szCs w:val="24"/>
        </w:rPr>
      </w:pPr>
    </w:p>
    <w:p w14:paraId="69701BA3" w14:textId="0CE123FE" w:rsidR="00331462" w:rsidRPr="00E84CDE" w:rsidRDefault="00331462" w:rsidP="00E86607">
      <w:pPr>
        <w:jc w:val="center"/>
        <w:rPr>
          <w:rFonts w:ascii="Times New Roman" w:hAnsi="Times New Roman" w:cs="Times New Roman"/>
          <w:sz w:val="24"/>
          <w:szCs w:val="24"/>
        </w:rPr>
      </w:pPr>
    </w:p>
    <w:p w14:paraId="342E90B4" w14:textId="79722387" w:rsidR="00331462" w:rsidRPr="00E84CDE" w:rsidRDefault="00331462" w:rsidP="00E86607">
      <w:pPr>
        <w:jc w:val="center"/>
        <w:rPr>
          <w:rFonts w:ascii="Times New Roman" w:hAnsi="Times New Roman" w:cs="Times New Roman"/>
          <w:sz w:val="24"/>
          <w:szCs w:val="24"/>
        </w:rPr>
      </w:pPr>
    </w:p>
    <w:p w14:paraId="2AC9DF97" w14:textId="1D936CEA" w:rsidR="00331462" w:rsidRPr="00E84CDE" w:rsidRDefault="00331462" w:rsidP="00E86607">
      <w:pPr>
        <w:jc w:val="center"/>
        <w:rPr>
          <w:rFonts w:ascii="Times New Roman" w:hAnsi="Times New Roman" w:cs="Times New Roman"/>
          <w:sz w:val="24"/>
          <w:szCs w:val="24"/>
        </w:rPr>
      </w:pPr>
    </w:p>
    <w:p w14:paraId="3BC6044E" w14:textId="36A00020" w:rsidR="00331462" w:rsidRPr="00E84CDE" w:rsidRDefault="00331462" w:rsidP="00E86607">
      <w:pPr>
        <w:jc w:val="center"/>
        <w:rPr>
          <w:rFonts w:ascii="Times New Roman" w:hAnsi="Times New Roman" w:cs="Times New Roman"/>
          <w:sz w:val="24"/>
          <w:szCs w:val="24"/>
        </w:rPr>
      </w:pPr>
    </w:p>
    <w:p w14:paraId="333192A8" w14:textId="0FD4185E" w:rsidR="00331462" w:rsidRPr="00E84CDE" w:rsidRDefault="00331462" w:rsidP="00E86607">
      <w:pPr>
        <w:jc w:val="center"/>
        <w:rPr>
          <w:rFonts w:ascii="Times New Roman" w:hAnsi="Times New Roman" w:cs="Times New Roman"/>
          <w:sz w:val="24"/>
          <w:szCs w:val="24"/>
        </w:rPr>
      </w:pPr>
    </w:p>
    <w:p w14:paraId="56B77FC0" w14:textId="58ACCC07" w:rsidR="00331462" w:rsidRPr="00E84CDE" w:rsidRDefault="00331462" w:rsidP="00E86607">
      <w:pPr>
        <w:jc w:val="center"/>
        <w:rPr>
          <w:rFonts w:ascii="Times New Roman" w:hAnsi="Times New Roman" w:cs="Times New Roman"/>
          <w:sz w:val="24"/>
          <w:szCs w:val="24"/>
        </w:rPr>
      </w:pPr>
    </w:p>
    <w:p w14:paraId="781C1C3B" w14:textId="6973EEA7" w:rsidR="00331462" w:rsidRPr="00E84CDE" w:rsidRDefault="00331462" w:rsidP="00E86607">
      <w:pPr>
        <w:jc w:val="center"/>
        <w:rPr>
          <w:rFonts w:ascii="Times New Roman" w:hAnsi="Times New Roman" w:cs="Times New Roman"/>
          <w:sz w:val="24"/>
          <w:szCs w:val="24"/>
        </w:rPr>
      </w:pPr>
    </w:p>
    <w:p w14:paraId="1F977A2D" w14:textId="1136CD58" w:rsidR="00331462" w:rsidRPr="00E84CDE" w:rsidRDefault="00331462" w:rsidP="00E86607">
      <w:pPr>
        <w:jc w:val="center"/>
        <w:rPr>
          <w:rFonts w:ascii="Times New Roman" w:hAnsi="Times New Roman" w:cs="Times New Roman"/>
          <w:sz w:val="24"/>
          <w:szCs w:val="24"/>
        </w:rPr>
      </w:pPr>
    </w:p>
    <w:p w14:paraId="7E7056E5" w14:textId="36C29CA8" w:rsidR="00331462" w:rsidRPr="00E84CDE" w:rsidRDefault="00331462" w:rsidP="00E86607">
      <w:pPr>
        <w:jc w:val="center"/>
        <w:rPr>
          <w:rFonts w:ascii="Times New Roman" w:hAnsi="Times New Roman" w:cs="Times New Roman"/>
          <w:sz w:val="24"/>
          <w:szCs w:val="24"/>
        </w:rPr>
      </w:pPr>
    </w:p>
    <w:p w14:paraId="6300B079" w14:textId="2C7EEAD3" w:rsidR="00331462" w:rsidRPr="00E84CDE" w:rsidRDefault="00331462" w:rsidP="00E86607">
      <w:pPr>
        <w:jc w:val="center"/>
        <w:rPr>
          <w:rFonts w:ascii="Times New Roman" w:hAnsi="Times New Roman" w:cs="Times New Roman"/>
          <w:sz w:val="24"/>
          <w:szCs w:val="24"/>
        </w:rPr>
      </w:pPr>
    </w:p>
    <w:p w14:paraId="1C036477" w14:textId="4931EB78" w:rsidR="00331462" w:rsidRPr="00E84CDE" w:rsidRDefault="00331462" w:rsidP="00E86607">
      <w:pPr>
        <w:jc w:val="center"/>
        <w:rPr>
          <w:rFonts w:ascii="Times New Roman" w:hAnsi="Times New Roman" w:cs="Times New Roman"/>
          <w:sz w:val="24"/>
          <w:szCs w:val="24"/>
        </w:rPr>
      </w:pPr>
    </w:p>
    <w:p w14:paraId="1B2323F3" w14:textId="2E26F473" w:rsidR="00331462" w:rsidRPr="00E84CDE" w:rsidRDefault="00331462" w:rsidP="00E86607">
      <w:pPr>
        <w:jc w:val="center"/>
        <w:rPr>
          <w:rFonts w:ascii="Times New Roman" w:hAnsi="Times New Roman" w:cs="Times New Roman"/>
          <w:sz w:val="24"/>
          <w:szCs w:val="24"/>
        </w:rPr>
      </w:pPr>
    </w:p>
    <w:p w14:paraId="277CAB15" w14:textId="74BC0D28" w:rsidR="00331462" w:rsidRPr="00E84CDE" w:rsidRDefault="00331462" w:rsidP="00E86607">
      <w:pPr>
        <w:jc w:val="center"/>
        <w:rPr>
          <w:rFonts w:ascii="Times New Roman" w:hAnsi="Times New Roman" w:cs="Times New Roman"/>
          <w:sz w:val="24"/>
          <w:szCs w:val="24"/>
        </w:rPr>
      </w:pPr>
    </w:p>
    <w:p w14:paraId="6D51B123" w14:textId="7205846C" w:rsidR="00331462" w:rsidRPr="00E84CDE" w:rsidRDefault="00331462" w:rsidP="00E86607">
      <w:pPr>
        <w:jc w:val="center"/>
        <w:rPr>
          <w:rFonts w:ascii="Times New Roman" w:hAnsi="Times New Roman" w:cs="Times New Roman"/>
          <w:sz w:val="24"/>
          <w:szCs w:val="24"/>
        </w:rPr>
      </w:pPr>
    </w:p>
    <w:p w14:paraId="58B6150D" w14:textId="5C526A43" w:rsidR="00331462" w:rsidRPr="00E84CDE" w:rsidRDefault="00331462" w:rsidP="00E86607">
      <w:pPr>
        <w:jc w:val="center"/>
        <w:rPr>
          <w:rFonts w:ascii="Times New Roman" w:hAnsi="Times New Roman" w:cs="Times New Roman"/>
          <w:sz w:val="24"/>
          <w:szCs w:val="24"/>
        </w:rPr>
      </w:pPr>
    </w:p>
    <w:p w14:paraId="60C384AC" w14:textId="47C5AFBF" w:rsidR="00331462" w:rsidRPr="00E84CDE" w:rsidRDefault="00331462" w:rsidP="00E86607">
      <w:pPr>
        <w:jc w:val="center"/>
        <w:rPr>
          <w:rFonts w:ascii="Times New Roman" w:hAnsi="Times New Roman" w:cs="Times New Roman"/>
          <w:sz w:val="24"/>
          <w:szCs w:val="24"/>
        </w:rPr>
      </w:pPr>
    </w:p>
    <w:p w14:paraId="4F29E110" w14:textId="14ABF3BD" w:rsidR="00331462" w:rsidRPr="00E84CDE" w:rsidRDefault="00331462" w:rsidP="00E84CDE">
      <w:pPr>
        <w:rPr>
          <w:rFonts w:ascii="Times New Roman" w:hAnsi="Times New Roman" w:cs="Times New Roman"/>
          <w:sz w:val="24"/>
          <w:szCs w:val="24"/>
        </w:rPr>
      </w:pPr>
    </w:p>
    <w:p w14:paraId="717B0FA7" w14:textId="42C219E1" w:rsidR="00331462" w:rsidRPr="00E84CDE" w:rsidRDefault="00331462" w:rsidP="00331462">
      <w:pPr>
        <w:spacing w:line="480" w:lineRule="auto"/>
        <w:rPr>
          <w:rFonts w:ascii="Times New Roman" w:hAnsi="Times New Roman" w:cs="Times New Roman"/>
          <w:sz w:val="24"/>
          <w:szCs w:val="24"/>
        </w:rPr>
      </w:pPr>
      <w:r w:rsidRPr="00E84CDE">
        <w:rPr>
          <w:rFonts w:ascii="Times New Roman" w:hAnsi="Times New Roman" w:cs="Times New Roman"/>
          <w:sz w:val="24"/>
          <w:szCs w:val="24"/>
        </w:rPr>
        <w:lastRenderedPageBreak/>
        <w:tab/>
        <w:t xml:space="preserve">Considering the </w:t>
      </w:r>
      <w:r w:rsidR="0031149E" w:rsidRPr="00E84CDE">
        <w:rPr>
          <w:rFonts w:ascii="Times New Roman" w:hAnsi="Times New Roman" w:cs="Times New Roman"/>
          <w:sz w:val="24"/>
          <w:szCs w:val="24"/>
        </w:rPr>
        <w:t>era,</w:t>
      </w:r>
      <w:r w:rsidR="00AF1177" w:rsidRPr="00E84CDE">
        <w:rPr>
          <w:rFonts w:ascii="Times New Roman" w:hAnsi="Times New Roman" w:cs="Times New Roman"/>
          <w:sz w:val="24"/>
          <w:szCs w:val="24"/>
        </w:rPr>
        <w:t xml:space="preserve"> </w:t>
      </w:r>
      <w:r w:rsidRPr="00E84CDE">
        <w:rPr>
          <w:rFonts w:ascii="Times New Roman" w:hAnsi="Times New Roman" w:cs="Times New Roman"/>
          <w:sz w:val="24"/>
          <w:szCs w:val="24"/>
        </w:rPr>
        <w:t xml:space="preserve">the Trump Administration has </w:t>
      </w:r>
      <w:r w:rsidR="00AF1177" w:rsidRPr="00E84CDE">
        <w:rPr>
          <w:rFonts w:ascii="Times New Roman" w:hAnsi="Times New Roman" w:cs="Times New Roman"/>
          <w:sz w:val="24"/>
          <w:szCs w:val="24"/>
        </w:rPr>
        <w:t>defined</w:t>
      </w:r>
      <w:r w:rsidR="002541CB" w:rsidRPr="00E84CDE">
        <w:rPr>
          <w:rFonts w:ascii="Times New Roman" w:hAnsi="Times New Roman" w:cs="Times New Roman"/>
          <w:sz w:val="24"/>
          <w:szCs w:val="24"/>
        </w:rPr>
        <w:t xml:space="preserve"> key differences to how our leadership works</w:t>
      </w:r>
      <w:r w:rsidR="00AF1177" w:rsidRPr="00E84CDE">
        <w:rPr>
          <w:rFonts w:ascii="Times New Roman" w:hAnsi="Times New Roman" w:cs="Times New Roman"/>
          <w:sz w:val="24"/>
          <w:szCs w:val="24"/>
        </w:rPr>
        <w:t xml:space="preserve"> </w:t>
      </w:r>
      <w:proofErr w:type="gramStart"/>
      <w:r w:rsidR="00AF1177" w:rsidRPr="00E84CDE">
        <w:rPr>
          <w:rFonts w:ascii="Times New Roman" w:hAnsi="Times New Roman" w:cs="Times New Roman"/>
          <w:sz w:val="24"/>
          <w:szCs w:val="24"/>
        </w:rPr>
        <w:t>in regard to</w:t>
      </w:r>
      <w:proofErr w:type="gramEnd"/>
      <w:r w:rsidR="00AF1177" w:rsidRPr="00E84CDE">
        <w:rPr>
          <w:rFonts w:ascii="Times New Roman" w:hAnsi="Times New Roman" w:cs="Times New Roman"/>
          <w:sz w:val="24"/>
          <w:szCs w:val="24"/>
        </w:rPr>
        <w:t xml:space="preserve"> media, governmental procedure, and the dissemination of information, whether true or not</w:t>
      </w:r>
      <w:r w:rsidR="002541CB" w:rsidRPr="00E84CDE">
        <w:rPr>
          <w:rFonts w:ascii="Times New Roman" w:hAnsi="Times New Roman" w:cs="Times New Roman"/>
          <w:sz w:val="24"/>
          <w:szCs w:val="24"/>
        </w:rPr>
        <w:t xml:space="preserve">. The </w:t>
      </w:r>
      <w:r w:rsidR="008D38FF">
        <w:rPr>
          <w:rFonts w:ascii="Times New Roman" w:hAnsi="Times New Roman" w:cs="Times New Roman"/>
          <w:sz w:val="24"/>
          <w:szCs w:val="24"/>
        </w:rPr>
        <w:t xml:space="preserve">current administration in the </w:t>
      </w:r>
      <w:r w:rsidR="002541CB" w:rsidRPr="00E84CDE">
        <w:rPr>
          <w:rFonts w:ascii="Times New Roman" w:hAnsi="Times New Roman" w:cs="Times New Roman"/>
          <w:sz w:val="24"/>
          <w:szCs w:val="24"/>
        </w:rPr>
        <w:t>White House</w:t>
      </w:r>
      <w:r w:rsidR="008D38FF">
        <w:rPr>
          <w:rFonts w:ascii="Times New Roman" w:hAnsi="Times New Roman" w:cs="Times New Roman"/>
          <w:sz w:val="24"/>
          <w:szCs w:val="24"/>
        </w:rPr>
        <w:t xml:space="preserve">, whether citizens are in support of them or not, </w:t>
      </w:r>
      <w:r w:rsidR="002541CB" w:rsidRPr="00E84CDE">
        <w:rPr>
          <w:rFonts w:ascii="Times New Roman" w:hAnsi="Times New Roman" w:cs="Times New Roman"/>
          <w:sz w:val="24"/>
          <w:szCs w:val="24"/>
        </w:rPr>
        <w:t>has shown that there</w:t>
      </w:r>
      <w:r w:rsidR="00AF1177" w:rsidRPr="00E84CDE">
        <w:rPr>
          <w:rFonts w:ascii="Times New Roman" w:hAnsi="Times New Roman" w:cs="Times New Roman"/>
          <w:sz w:val="24"/>
          <w:szCs w:val="24"/>
        </w:rPr>
        <w:t xml:space="preserve"> </w:t>
      </w:r>
      <w:r w:rsidRPr="00E84CDE">
        <w:rPr>
          <w:rFonts w:ascii="Times New Roman" w:hAnsi="Times New Roman" w:cs="Times New Roman"/>
          <w:sz w:val="24"/>
          <w:szCs w:val="24"/>
        </w:rPr>
        <w:t xml:space="preserve">is a necessary need for the United State’s use of checks and </w:t>
      </w:r>
      <w:r w:rsidR="008D38FF">
        <w:rPr>
          <w:rFonts w:ascii="Times New Roman" w:hAnsi="Times New Roman" w:cs="Times New Roman"/>
          <w:sz w:val="24"/>
          <w:szCs w:val="24"/>
        </w:rPr>
        <w:t>balances, and an active use of them by other branches</w:t>
      </w:r>
      <w:r w:rsidRPr="00E84CDE">
        <w:rPr>
          <w:rFonts w:ascii="Times New Roman" w:hAnsi="Times New Roman" w:cs="Times New Roman"/>
          <w:sz w:val="24"/>
          <w:szCs w:val="24"/>
        </w:rPr>
        <w:t xml:space="preserve">. For that reason, it is important to now revisit landmark cases that the Supreme Court had brought before them, including, arguably, one of the most notable cases of its ilk: </w:t>
      </w:r>
      <w:r w:rsidRPr="00E84CDE">
        <w:rPr>
          <w:rFonts w:ascii="Times New Roman" w:hAnsi="Times New Roman" w:cs="Times New Roman"/>
          <w:i/>
          <w:sz w:val="24"/>
          <w:szCs w:val="24"/>
        </w:rPr>
        <w:t>Marbury vs. Madison</w:t>
      </w:r>
      <w:r w:rsidRPr="00E84CDE">
        <w:rPr>
          <w:rFonts w:ascii="Times New Roman" w:hAnsi="Times New Roman" w:cs="Times New Roman"/>
          <w:sz w:val="24"/>
          <w:szCs w:val="24"/>
        </w:rPr>
        <w:t xml:space="preserve"> (</w:t>
      </w:r>
      <w:r w:rsidR="0031149E" w:rsidRPr="00E84CDE">
        <w:rPr>
          <w:rFonts w:ascii="Times New Roman" w:hAnsi="Times New Roman" w:cs="Times New Roman"/>
          <w:sz w:val="24"/>
          <w:szCs w:val="24"/>
        </w:rPr>
        <w:t>1803</w:t>
      </w:r>
      <w:r w:rsidRPr="00E84CDE">
        <w:rPr>
          <w:rFonts w:ascii="Times New Roman" w:hAnsi="Times New Roman" w:cs="Times New Roman"/>
          <w:sz w:val="24"/>
          <w:szCs w:val="24"/>
        </w:rPr>
        <w:t>)</w:t>
      </w:r>
      <w:r w:rsidR="0031149E" w:rsidRPr="00E84CDE">
        <w:rPr>
          <w:rFonts w:ascii="Times New Roman" w:hAnsi="Times New Roman" w:cs="Times New Roman"/>
          <w:sz w:val="24"/>
          <w:szCs w:val="24"/>
        </w:rPr>
        <w:t>.</w:t>
      </w:r>
    </w:p>
    <w:p w14:paraId="0B42FE02" w14:textId="32245816" w:rsidR="00331462" w:rsidRPr="00E84CDE" w:rsidRDefault="00331462" w:rsidP="002541CB">
      <w:pPr>
        <w:spacing w:line="480" w:lineRule="auto"/>
        <w:ind w:firstLine="720"/>
        <w:rPr>
          <w:rFonts w:ascii="Times New Roman" w:hAnsi="Times New Roman" w:cs="Times New Roman"/>
          <w:sz w:val="24"/>
          <w:szCs w:val="24"/>
        </w:rPr>
      </w:pPr>
      <w:r w:rsidRPr="00E84CDE">
        <w:rPr>
          <w:rFonts w:ascii="Times New Roman" w:hAnsi="Times New Roman" w:cs="Times New Roman"/>
          <w:sz w:val="24"/>
          <w:szCs w:val="24"/>
        </w:rPr>
        <w:t>As Chief Justice Carl Evans Hughes observed, “the Supreme Court is distinctly American in concept and structure.” The US Supreme Court is unique for its constitutional power, the amount of power it has over the rest of the courts in the land, and its longevity. The Constitution gives it the power to check, if necessary, the actions of the President and Congress. It can tell a President that his actions are not allowed by the Constitution. It can tell Congress that a law it passed violated the U.S. Constitution and is, therefore, no longer a law. It can also tell the government of a state that one of its laws breaks a rule in the Constitution. The Supreme Court is the final judge in all cases involving laws of Congress, and the highest law of all — the Constitution</w:t>
      </w:r>
      <w:r w:rsidR="00E84CDE">
        <w:rPr>
          <w:rStyle w:val="FootnoteReference"/>
          <w:rFonts w:ascii="Times New Roman" w:hAnsi="Times New Roman" w:cs="Times New Roman"/>
          <w:sz w:val="24"/>
          <w:szCs w:val="24"/>
        </w:rPr>
        <w:footnoteReference w:id="1"/>
      </w:r>
      <w:r w:rsidRPr="00E84CDE">
        <w:rPr>
          <w:rFonts w:ascii="Times New Roman" w:hAnsi="Times New Roman" w:cs="Times New Roman"/>
          <w:sz w:val="24"/>
          <w:szCs w:val="24"/>
        </w:rPr>
        <w:t>. The Supreme Court, however, is far from all-powerful. Its power is limited by the other two branches of government</w:t>
      </w:r>
      <w:r w:rsidR="002541CB" w:rsidRPr="00E84CDE">
        <w:rPr>
          <w:rFonts w:ascii="Times New Roman" w:hAnsi="Times New Roman" w:cs="Times New Roman"/>
          <w:sz w:val="24"/>
          <w:szCs w:val="24"/>
        </w:rPr>
        <w:t xml:space="preserve">: </w:t>
      </w:r>
      <w:proofErr w:type="gramStart"/>
      <w:r w:rsidR="002541CB" w:rsidRPr="00E84CDE">
        <w:rPr>
          <w:rFonts w:ascii="Times New Roman" w:hAnsi="Times New Roman" w:cs="Times New Roman"/>
          <w:sz w:val="24"/>
          <w:szCs w:val="24"/>
        </w:rPr>
        <w:t>t</w:t>
      </w:r>
      <w:r w:rsidRPr="00E84CDE">
        <w:rPr>
          <w:rFonts w:ascii="Times New Roman" w:hAnsi="Times New Roman" w:cs="Times New Roman"/>
          <w:sz w:val="24"/>
          <w:szCs w:val="24"/>
        </w:rPr>
        <w:t>he</w:t>
      </w:r>
      <w:proofErr w:type="gramEnd"/>
      <w:r w:rsidRPr="00E84CDE">
        <w:rPr>
          <w:rFonts w:ascii="Times New Roman" w:hAnsi="Times New Roman" w:cs="Times New Roman"/>
          <w:sz w:val="24"/>
          <w:szCs w:val="24"/>
        </w:rPr>
        <w:t xml:space="preserve"> President nominates justices to the court</w:t>
      </w:r>
      <w:r w:rsidR="002541CB" w:rsidRPr="00E84CDE">
        <w:rPr>
          <w:rFonts w:ascii="Times New Roman" w:hAnsi="Times New Roman" w:cs="Times New Roman"/>
          <w:sz w:val="24"/>
          <w:szCs w:val="24"/>
        </w:rPr>
        <w:t>, t</w:t>
      </w:r>
      <w:r w:rsidRPr="00E84CDE">
        <w:rPr>
          <w:rFonts w:ascii="Times New Roman" w:hAnsi="Times New Roman" w:cs="Times New Roman"/>
          <w:sz w:val="24"/>
          <w:szCs w:val="24"/>
        </w:rPr>
        <w:t>he Senate must vote its approval of the nominations</w:t>
      </w:r>
      <w:r w:rsidR="002541CB" w:rsidRPr="00E84CDE">
        <w:rPr>
          <w:rFonts w:ascii="Times New Roman" w:hAnsi="Times New Roman" w:cs="Times New Roman"/>
          <w:sz w:val="24"/>
          <w:szCs w:val="24"/>
        </w:rPr>
        <w:t>, and finally, t</w:t>
      </w:r>
      <w:r w:rsidRPr="00E84CDE">
        <w:rPr>
          <w:rFonts w:ascii="Times New Roman" w:hAnsi="Times New Roman" w:cs="Times New Roman"/>
          <w:sz w:val="24"/>
          <w:szCs w:val="24"/>
        </w:rPr>
        <w:t xml:space="preserve">he whole </w:t>
      </w:r>
      <w:r w:rsidR="002541CB" w:rsidRPr="00E84CDE">
        <w:rPr>
          <w:rFonts w:ascii="Times New Roman" w:hAnsi="Times New Roman" w:cs="Times New Roman"/>
          <w:sz w:val="24"/>
          <w:szCs w:val="24"/>
        </w:rPr>
        <w:t xml:space="preserve">of </w:t>
      </w:r>
      <w:r w:rsidRPr="00E84CDE">
        <w:rPr>
          <w:rFonts w:ascii="Times New Roman" w:hAnsi="Times New Roman" w:cs="Times New Roman"/>
          <w:sz w:val="24"/>
          <w:szCs w:val="24"/>
        </w:rPr>
        <w:t>Congress has great power over the lower courts in the federal system. District and appeals courts are created by acts of Congres</w:t>
      </w:r>
      <w:r w:rsidR="002541CB" w:rsidRPr="00E84CDE">
        <w:rPr>
          <w:rFonts w:ascii="Times New Roman" w:hAnsi="Times New Roman" w:cs="Times New Roman"/>
          <w:sz w:val="24"/>
          <w:szCs w:val="24"/>
        </w:rPr>
        <w:t xml:space="preserve">s, yet these </w:t>
      </w:r>
      <w:r w:rsidRPr="00E84CDE">
        <w:rPr>
          <w:rFonts w:ascii="Times New Roman" w:hAnsi="Times New Roman" w:cs="Times New Roman"/>
          <w:sz w:val="24"/>
          <w:szCs w:val="24"/>
        </w:rPr>
        <w:t>courts may be abolished if Congress wishes it.</w:t>
      </w:r>
    </w:p>
    <w:p w14:paraId="4ADBF6ED" w14:textId="35A928C3" w:rsidR="006E438C" w:rsidRPr="00E84CDE" w:rsidRDefault="002541CB" w:rsidP="002541CB">
      <w:pPr>
        <w:spacing w:line="480" w:lineRule="auto"/>
        <w:ind w:firstLine="720"/>
        <w:rPr>
          <w:rFonts w:ascii="Times New Roman" w:hAnsi="Times New Roman" w:cs="Times New Roman"/>
          <w:sz w:val="24"/>
          <w:szCs w:val="24"/>
        </w:rPr>
      </w:pPr>
      <w:r w:rsidRPr="00E84CDE">
        <w:rPr>
          <w:rFonts w:ascii="Times New Roman" w:hAnsi="Times New Roman" w:cs="Times New Roman"/>
          <w:sz w:val="24"/>
          <w:szCs w:val="24"/>
        </w:rPr>
        <w:lastRenderedPageBreak/>
        <w:t xml:space="preserve">The system was created </w:t>
      </w:r>
      <w:proofErr w:type="gramStart"/>
      <w:r w:rsidRPr="00E84CDE">
        <w:rPr>
          <w:rFonts w:ascii="Times New Roman" w:hAnsi="Times New Roman" w:cs="Times New Roman"/>
          <w:sz w:val="24"/>
          <w:szCs w:val="24"/>
        </w:rPr>
        <w:t>in an effort to</w:t>
      </w:r>
      <w:proofErr w:type="gramEnd"/>
      <w:r w:rsidRPr="00E84CDE">
        <w:rPr>
          <w:rFonts w:ascii="Times New Roman" w:hAnsi="Times New Roman" w:cs="Times New Roman"/>
          <w:sz w:val="24"/>
          <w:szCs w:val="24"/>
        </w:rPr>
        <w:t xml:space="preserve"> check the leadership we had with a balance of power, so the United States would never mimic a government like the monarchy of countries like Britain and France. One of the first instances of seeing checks and balances in action were the events that led up and to </w:t>
      </w:r>
      <w:r w:rsidRPr="00E84CDE">
        <w:rPr>
          <w:rFonts w:ascii="Times New Roman" w:hAnsi="Times New Roman" w:cs="Times New Roman"/>
          <w:i/>
          <w:sz w:val="24"/>
          <w:szCs w:val="24"/>
        </w:rPr>
        <w:t>Marbury vs. Madison</w:t>
      </w:r>
      <w:r w:rsidRPr="00E84CDE">
        <w:rPr>
          <w:rFonts w:ascii="Times New Roman" w:hAnsi="Times New Roman" w:cs="Times New Roman"/>
          <w:sz w:val="24"/>
          <w:szCs w:val="24"/>
        </w:rPr>
        <w:t xml:space="preserve"> in 1803. </w:t>
      </w:r>
      <w:r w:rsidR="00331462" w:rsidRPr="00E84CDE">
        <w:rPr>
          <w:rFonts w:ascii="Times New Roman" w:hAnsi="Times New Roman" w:cs="Times New Roman"/>
          <w:sz w:val="24"/>
          <w:szCs w:val="24"/>
        </w:rPr>
        <w:t>Article II</w:t>
      </w:r>
      <w:r w:rsidRPr="00E84CDE">
        <w:rPr>
          <w:rFonts w:ascii="Times New Roman" w:hAnsi="Times New Roman" w:cs="Times New Roman"/>
          <w:sz w:val="24"/>
          <w:szCs w:val="24"/>
        </w:rPr>
        <w:t>I</w:t>
      </w:r>
      <w:r w:rsidR="00331462" w:rsidRPr="00E84CDE">
        <w:rPr>
          <w:rFonts w:ascii="Times New Roman" w:hAnsi="Times New Roman" w:cs="Times New Roman"/>
          <w:sz w:val="24"/>
          <w:szCs w:val="24"/>
        </w:rPr>
        <w:t xml:space="preserve"> of the Constitution provides the Supreme Court its power, yet it is written so that it can be left open for interpretation. The </w:t>
      </w:r>
      <w:r w:rsidRPr="00E84CDE">
        <w:rPr>
          <w:rFonts w:ascii="Times New Roman" w:hAnsi="Times New Roman" w:cs="Times New Roman"/>
          <w:sz w:val="24"/>
          <w:szCs w:val="24"/>
        </w:rPr>
        <w:t>vaguely written nature</w:t>
      </w:r>
      <w:r w:rsidR="00331462" w:rsidRPr="00E84CDE">
        <w:rPr>
          <w:rFonts w:ascii="Times New Roman" w:hAnsi="Times New Roman" w:cs="Times New Roman"/>
          <w:sz w:val="24"/>
          <w:szCs w:val="24"/>
        </w:rPr>
        <w:t xml:space="preserve"> of Article III led to a political battle regarding the Supreme Court. As a member of the Federalist Party, John Adams attempted to appoint as many of his fellow Federalists to the cabinet of the President of the United States, including William Marbury as a Justice of the Peace, before he left office as President because Thomas Jefferson, a Republican, would be assuming office</w:t>
      </w:r>
      <w:r w:rsidR="00E84CDE">
        <w:rPr>
          <w:rStyle w:val="FootnoteReference"/>
          <w:rFonts w:ascii="Times New Roman" w:hAnsi="Times New Roman" w:cs="Times New Roman"/>
          <w:sz w:val="24"/>
          <w:szCs w:val="24"/>
        </w:rPr>
        <w:footnoteReference w:id="2"/>
      </w:r>
      <w:r w:rsidR="00331462" w:rsidRPr="00E84CDE">
        <w:rPr>
          <w:rFonts w:ascii="Times New Roman" w:hAnsi="Times New Roman" w:cs="Times New Roman"/>
          <w:sz w:val="24"/>
          <w:szCs w:val="24"/>
        </w:rPr>
        <w:t>. However, Jefferson and his Secretary of State, James Madison, stopped Marbury’s</w:t>
      </w:r>
      <w:r w:rsidRPr="00E84CDE">
        <w:rPr>
          <w:rFonts w:ascii="Times New Roman" w:hAnsi="Times New Roman" w:cs="Times New Roman"/>
          <w:sz w:val="24"/>
          <w:szCs w:val="24"/>
        </w:rPr>
        <w:t>,</w:t>
      </w:r>
      <w:r w:rsidR="00331462" w:rsidRPr="00E84CDE">
        <w:rPr>
          <w:rFonts w:ascii="Times New Roman" w:hAnsi="Times New Roman" w:cs="Times New Roman"/>
          <w:sz w:val="24"/>
          <w:szCs w:val="24"/>
        </w:rPr>
        <w:t xml:space="preserve"> and a few others’</w:t>
      </w:r>
      <w:r w:rsidRPr="00E84CDE">
        <w:rPr>
          <w:rFonts w:ascii="Times New Roman" w:hAnsi="Times New Roman" w:cs="Times New Roman"/>
          <w:sz w:val="24"/>
          <w:szCs w:val="24"/>
        </w:rPr>
        <w:t>,</w:t>
      </w:r>
      <w:r w:rsidR="00331462" w:rsidRPr="00E84CDE">
        <w:rPr>
          <w:rFonts w:ascii="Times New Roman" w:hAnsi="Times New Roman" w:cs="Times New Roman"/>
          <w:sz w:val="24"/>
          <w:szCs w:val="24"/>
        </w:rPr>
        <w:t xml:space="preserve"> appointment once in office. </w:t>
      </w:r>
      <w:r w:rsidR="00122719" w:rsidRPr="00E84CDE">
        <w:rPr>
          <w:rFonts w:ascii="Times New Roman" w:hAnsi="Times New Roman" w:cs="Times New Roman"/>
          <w:sz w:val="24"/>
          <w:szCs w:val="24"/>
        </w:rPr>
        <w:t>Given the political differences between the set parties and their leaders at the time, Jefferson’s refusal to appoint Marbury and other candidates wasn’t surprising.</w:t>
      </w:r>
    </w:p>
    <w:p w14:paraId="475A3A62" w14:textId="6AA2ABD3" w:rsidR="00122719" w:rsidRPr="00E84CDE" w:rsidRDefault="00331462" w:rsidP="006E438C">
      <w:pPr>
        <w:spacing w:line="480" w:lineRule="auto"/>
        <w:ind w:firstLine="720"/>
        <w:rPr>
          <w:rFonts w:ascii="Times New Roman" w:hAnsi="Times New Roman" w:cs="Times New Roman"/>
          <w:sz w:val="24"/>
          <w:szCs w:val="24"/>
        </w:rPr>
      </w:pPr>
      <w:r w:rsidRPr="00E84CDE">
        <w:rPr>
          <w:rFonts w:ascii="Times New Roman" w:hAnsi="Times New Roman" w:cs="Times New Roman"/>
          <w:sz w:val="24"/>
          <w:szCs w:val="24"/>
        </w:rPr>
        <w:t>Marbury took Madison to court for his position</w:t>
      </w:r>
      <w:r w:rsidR="00122719" w:rsidRPr="00E84CDE">
        <w:rPr>
          <w:rFonts w:ascii="Times New Roman" w:hAnsi="Times New Roman" w:cs="Times New Roman"/>
          <w:sz w:val="24"/>
          <w:szCs w:val="24"/>
        </w:rPr>
        <w:t>, suing him, and essentially, the government, in the Supreme Court itself, meaning there was never a lower court involved</w:t>
      </w:r>
      <w:r w:rsidRPr="00E84CDE">
        <w:rPr>
          <w:rFonts w:ascii="Times New Roman" w:hAnsi="Times New Roman" w:cs="Times New Roman"/>
          <w:sz w:val="24"/>
          <w:szCs w:val="24"/>
        </w:rPr>
        <w:t>.</w:t>
      </w:r>
      <w:r w:rsidR="006E438C" w:rsidRPr="00E84CDE">
        <w:rPr>
          <w:rFonts w:ascii="Times New Roman" w:hAnsi="Times New Roman" w:cs="Times New Roman"/>
          <w:sz w:val="24"/>
          <w:szCs w:val="24"/>
        </w:rPr>
        <w:t xml:space="preserve"> The dilemma proposed was what would happen if the Supreme Court, supposedly the highest law in the land, ordered Madison to make the appointments and Madison refused</w:t>
      </w:r>
      <w:r w:rsidR="00E84CDE">
        <w:rPr>
          <w:rStyle w:val="FootnoteReference"/>
          <w:rFonts w:ascii="Times New Roman" w:hAnsi="Times New Roman" w:cs="Times New Roman"/>
          <w:sz w:val="24"/>
          <w:szCs w:val="24"/>
        </w:rPr>
        <w:footnoteReference w:id="3"/>
      </w:r>
      <w:r w:rsidR="006E438C" w:rsidRPr="00E84CDE">
        <w:rPr>
          <w:rFonts w:ascii="Times New Roman" w:hAnsi="Times New Roman" w:cs="Times New Roman"/>
          <w:sz w:val="24"/>
          <w:szCs w:val="24"/>
        </w:rPr>
        <w:t>.</w:t>
      </w:r>
      <w:r w:rsidRPr="00E84CDE">
        <w:rPr>
          <w:rFonts w:ascii="Times New Roman" w:hAnsi="Times New Roman" w:cs="Times New Roman"/>
          <w:sz w:val="24"/>
          <w:szCs w:val="24"/>
        </w:rPr>
        <w:t xml:space="preserve"> In </w:t>
      </w:r>
      <w:r w:rsidRPr="00E84CDE">
        <w:rPr>
          <w:rFonts w:ascii="Times New Roman" w:hAnsi="Times New Roman" w:cs="Times New Roman"/>
          <w:i/>
          <w:sz w:val="24"/>
          <w:szCs w:val="24"/>
        </w:rPr>
        <w:t xml:space="preserve">Marbury v. </w:t>
      </w:r>
      <w:r w:rsidRPr="00E84CDE">
        <w:rPr>
          <w:rFonts w:ascii="Times New Roman" w:hAnsi="Times New Roman" w:cs="Times New Roman"/>
          <w:i/>
          <w:sz w:val="24"/>
          <w:szCs w:val="24"/>
        </w:rPr>
        <w:lastRenderedPageBreak/>
        <w:t>Madison</w:t>
      </w:r>
      <w:r w:rsidR="002541CB" w:rsidRPr="00E84CDE">
        <w:rPr>
          <w:rFonts w:ascii="Times New Roman" w:hAnsi="Times New Roman" w:cs="Times New Roman"/>
          <w:sz w:val="24"/>
          <w:szCs w:val="24"/>
        </w:rPr>
        <w:t xml:space="preserve"> (1803)</w:t>
      </w:r>
      <w:r w:rsidRPr="00E84CDE">
        <w:rPr>
          <w:rFonts w:ascii="Times New Roman" w:hAnsi="Times New Roman" w:cs="Times New Roman"/>
          <w:sz w:val="24"/>
          <w:szCs w:val="24"/>
        </w:rPr>
        <w:t>, Chief Justice John Marshall said that William Marbury was entitled to the position that was granted by John Adams, but the final decision ultimately belonged to the new President, Thomas Jefferson. Chief Justice Marshall's ruling interpreted the Constitution to mean that the Supreme Court had the power of judicial review</w:t>
      </w:r>
      <w:r w:rsidR="00E84CDE">
        <w:rPr>
          <w:rStyle w:val="FootnoteReference"/>
          <w:rFonts w:ascii="Times New Roman" w:hAnsi="Times New Roman" w:cs="Times New Roman"/>
          <w:sz w:val="24"/>
          <w:szCs w:val="24"/>
        </w:rPr>
        <w:footnoteReference w:id="4"/>
      </w:r>
      <w:r w:rsidRPr="00E84CDE">
        <w:rPr>
          <w:rFonts w:ascii="Times New Roman" w:hAnsi="Times New Roman" w:cs="Times New Roman"/>
          <w:sz w:val="24"/>
          <w:szCs w:val="24"/>
        </w:rPr>
        <w:t xml:space="preserve">. That is, the Court had the right to review acts of Congress and, by extension, actions of the President. If the Court found that a law was unconstitutional, it could overrule the law. It was the first case of its kind. </w:t>
      </w:r>
      <w:r w:rsidR="006E438C" w:rsidRPr="00E84CDE">
        <w:rPr>
          <w:rFonts w:ascii="Times New Roman" w:hAnsi="Times New Roman" w:cs="Times New Roman"/>
          <w:sz w:val="24"/>
          <w:szCs w:val="24"/>
        </w:rPr>
        <w:t>With this decision, the Supreme Court set a precedent for reinforcing its authority, while simultaneously marking the Supreme Court impotent in special situations that may be politically motivated</w:t>
      </w:r>
      <w:r w:rsidR="00E84CDE">
        <w:rPr>
          <w:rStyle w:val="FootnoteReference"/>
          <w:rFonts w:ascii="Times New Roman" w:hAnsi="Times New Roman" w:cs="Times New Roman"/>
          <w:sz w:val="24"/>
          <w:szCs w:val="24"/>
        </w:rPr>
        <w:footnoteReference w:id="5"/>
      </w:r>
      <w:r w:rsidR="006E438C" w:rsidRPr="00E84CDE">
        <w:rPr>
          <w:rFonts w:ascii="Times New Roman" w:hAnsi="Times New Roman" w:cs="Times New Roman"/>
          <w:sz w:val="24"/>
          <w:szCs w:val="24"/>
        </w:rPr>
        <w:t>. In ruling a federal law as unconstitutional and in favor of Madison, the order setup for the authority of the Supreme Court would not be disrupted.</w:t>
      </w:r>
    </w:p>
    <w:p w14:paraId="2F00A721" w14:textId="7F6FF4B8" w:rsidR="00331462" w:rsidRPr="00E84CDE" w:rsidRDefault="006E438C" w:rsidP="002541CB">
      <w:pPr>
        <w:spacing w:line="480" w:lineRule="auto"/>
        <w:ind w:firstLine="720"/>
        <w:rPr>
          <w:rFonts w:ascii="Times New Roman" w:hAnsi="Times New Roman" w:cs="Times New Roman"/>
          <w:sz w:val="24"/>
          <w:szCs w:val="24"/>
        </w:rPr>
      </w:pPr>
      <w:r w:rsidRPr="00E84CDE">
        <w:rPr>
          <w:rFonts w:ascii="Times New Roman" w:hAnsi="Times New Roman" w:cs="Times New Roman"/>
          <w:sz w:val="24"/>
          <w:szCs w:val="24"/>
        </w:rPr>
        <w:t xml:space="preserve">The decision following </w:t>
      </w:r>
      <w:r w:rsidRPr="00E84CDE">
        <w:rPr>
          <w:rFonts w:ascii="Times New Roman" w:hAnsi="Times New Roman" w:cs="Times New Roman"/>
          <w:i/>
          <w:sz w:val="24"/>
          <w:szCs w:val="24"/>
        </w:rPr>
        <w:t>Marbury v. Madison</w:t>
      </w:r>
      <w:r w:rsidRPr="00E84CDE">
        <w:rPr>
          <w:rFonts w:ascii="Times New Roman" w:hAnsi="Times New Roman" w:cs="Times New Roman"/>
          <w:sz w:val="24"/>
          <w:szCs w:val="24"/>
        </w:rPr>
        <w:t xml:space="preserve"> (1803) had </w:t>
      </w:r>
      <w:proofErr w:type="gramStart"/>
      <w:r w:rsidRPr="00E84CDE">
        <w:rPr>
          <w:rFonts w:ascii="Times New Roman" w:hAnsi="Times New Roman" w:cs="Times New Roman"/>
          <w:sz w:val="24"/>
          <w:szCs w:val="24"/>
        </w:rPr>
        <w:t>a number of</w:t>
      </w:r>
      <w:proofErr w:type="gramEnd"/>
      <w:r w:rsidRPr="00E84CDE">
        <w:rPr>
          <w:rFonts w:ascii="Times New Roman" w:hAnsi="Times New Roman" w:cs="Times New Roman"/>
          <w:sz w:val="24"/>
          <w:szCs w:val="24"/>
        </w:rPr>
        <w:t xml:space="preserve"> ramifications that still affect us 215 years later. Of course, the most notable is the establishment of judicial review as mentioned earlier. Judicial review allows the Supreme Court to interpret the constitution and determine the validity of actions taken by the legislative and executive branches</w:t>
      </w:r>
      <w:r w:rsidR="00E84CDE">
        <w:rPr>
          <w:rStyle w:val="FootnoteReference"/>
          <w:rFonts w:ascii="Times New Roman" w:hAnsi="Times New Roman" w:cs="Times New Roman"/>
          <w:sz w:val="24"/>
          <w:szCs w:val="24"/>
        </w:rPr>
        <w:footnoteReference w:id="6"/>
      </w:r>
      <w:r w:rsidRPr="00E84CDE">
        <w:rPr>
          <w:rFonts w:ascii="Times New Roman" w:hAnsi="Times New Roman" w:cs="Times New Roman"/>
          <w:sz w:val="24"/>
          <w:szCs w:val="24"/>
        </w:rPr>
        <w:t xml:space="preserve">. </w:t>
      </w:r>
      <w:r w:rsidR="00E9484E" w:rsidRPr="00E84CDE">
        <w:rPr>
          <w:rFonts w:ascii="Times New Roman" w:hAnsi="Times New Roman" w:cs="Times New Roman"/>
          <w:sz w:val="24"/>
          <w:szCs w:val="24"/>
        </w:rPr>
        <w:t xml:space="preserve">And with this decree, the Supreme court has had the power to deliver some landmark decisions that have shaped our society. </w:t>
      </w:r>
      <w:r w:rsidR="00CB4081" w:rsidRPr="00E84CDE">
        <w:rPr>
          <w:rFonts w:ascii="Times New Roman" w:hAnsi="Times New Roman" w:cs="Times New Roman"/>
          <w:sz w:val="24"/>
          <w:szCs w:val="24"/>
        </w:rPr>
        <w:t xml:space="preserve">To name a few, in </w:t>
      </w:r>
      <w:r w:rsidR="00E9484E" w:rsidRPr="00E84CDE">
        <w:rPr>
          <w:rFonts w:ascii="Times New Roman" w:hAnsi="Times New Roman" w:cs="Times New Roman"/>
          <w:i/>
          <w:sz w:val="24"/>
          <w:szCs w:val="24"/>
        </w:rPr>
        <w:t>Brown v. Board of Education of Topeka</w:t>
      </w:r>
      <w:r w:rsidR="00CB4081" w:rsidRPr="00E84CDE">
        <w:rPr>
          <w:rFonts w:ascii="Times New Roman" w:hAnsi="Times New Roman" w:cs="Times New Roman"/>
          <w:i/>
          <w:sz w:val="24"/>
          <w:szCs w:val="24"/>
        </w:rPr>
        <w:t xml:space="preserve"> </w:t>
      </w:r>
      <w:r w:rsidR="00CB4081" w:rsidRPr="00E84CDE">
        <w:rPr>
          <w:rFonts w:ascii="Times New Roman" w:hAnsi="Times New Roman" w:cs="Times New Roman"/>
          <w:sz w:val="24"/>
          <w:szCs w:val="24"/>
        </w:rPr>
        <w:t xml:space="preserve">(1954), the </w:t>
      </w:r>
      <w:r w:rsidR="00CB4081" w:rsidRPr="00E84CDE">
        <w:rPr>
          <w:rFonts w:ascii="Times New Roman" w:hAnsi="Times New Roman" w:cs="Times New Roman"/>
          <w:sz w:val="24"/>
          <w:szCs w:val="24"/>
        </w:rPr>
        <w:lastRenderedPageBreak/>
        <w:t xml:space="preserve">Supreme court found that state laws establishing separate schools for white and black children unconstitutional; </w:t>
      </w:r>
      <w:r w:rsidR="00CB4081" w:rsidRPr="00E84CDE">
        <w:rPr>
          <w:rFonts w:ascii="Times New Roman" w:hAnsi="Times New Roman" w:cs="Times New Roman"/>
          <w:i/>
          <w:sz w:val="24"/>
          <w:szCs w:val="24"/>
        </w:rPr>
        <w:t>Row v. Wade</w:t>
      </w:r>
      <w:r w:rsidR="00CB4081" w:rsidRPr="00E84CDE">
        <w:rPr>
          <w:rFonts w:ascii="Times New Roman" w:hAnsi="Times New Roman" w:cs="Times New Roman"/>
          <w:sz w:val="24"/>
          <w:szCs w:val="24"/>
        </w:rPr>
        <w:t xml:space="preserve"> (1973) allowed for the Supreme Court to find that a state law that banned abortions was unconstitutional; and in </w:t>
      </w:r>
      <w:r w:rsidR="00CB4081" w:rsidRPr="00E84CDE">
        <w:rPr>
          <w:rFonts w:ascii="Times New Roman" w:hAnsi="Times New Roman" w:cs="Times New Roman"/>
          <w:i/>
          <w:sz w:val="24"/>
          <w:szCs w:val="24"/>
        </w:rPr>
        <w:t>Obergefell v. Hodges</w:t>
      </w:r>
      <w:r w:rsidR="00CB4081" w:rsidRPr="00E84CDE">
        <w:rPr>
          <w:rFonts w:ascii="Times New Roman" w:hAnsi="Times New Roman" w:cs="Times New Roman"/>
          <w:sz w:val="24"/>
          <w:szCs w:val="24"/>
        </w:rPr>
        <w:t xml:space="preserve"> (2015) the Supreme Court ruled that all states must grant same-sex marriages and recognize those as lawful from other states</w:t>
      </w:r>
      <w:r w:rsidR="00E84CDE">
        <w:rPr>
          <w:rStyle w:val="FootnoteReference"/>
          <w:rFonts w:ascii="Times New Roman" w:hAnsi="Times New Roman" w:cs="Times New Roman"/>
          <w:sz w:val="24"/>
          <w:szCs w:val="24"/>
        </w:rPr>
        <w:footnoteReference w:id="7"/>
      </w:r>
      <w:r w:rsidR="00CB4081" w:rsidRPr="00E84CDE">
        <w:rPr>
          <w:rFonts w:ascii="Times New Roman" w:hAnsi="Times New Roman" w:cs="Times New Roman"/>
          <w:sz w:val="24"/>
          <w:szCs w:val="24"/>
        </w:rPr>
        <w:t>. The establishment of judicial review allows for our country to move in a non-partisan way. As it has for over 200 years, there’s hope that that can be continued, even in these divisive times.</w:t>
      </w:r>
    </w:p>
    <w:p w14:paraId="6DAC0A1B" w14:textId="7C0C980E" w:rsidR="00CB4081" w:rsidRPr="00E84CDE" w:rsidRDefault="00CB4081" w:rsidP="00CB4081">
      <w:pPr>
        <w:spacing w:line="480" w:lineRule="auto"/>
        <w:rPr>
          <w:rFonts w:ascii="Times New Roman" w:hAnsi="Times New Roman" w:cs="Times New Roman"/>
          <w:sz w:val="24"/>
          <w:szCs w:val="24"/>
        </w:rPr>
      </w:pPr>
    </w:p>
    <w:p w14:paraId="0A3240CF" w14:textId="44ECF215" w:rsidR="00CB4081" w:rsidRPr="00E84CDE" w:rsidRDefault="00CB4081" w:rsidP="00CB4081">
      <w:pPr>
        <w:spacing w:line="480" w:lineRule="auto"/>
        <w:rPr>
          <w:rFonts w:ascii="Times New Roman" w:hAnsi="Times New Roman" w:cs="Times New Roman"/>
          <w:sz w:val="24"/>
          <w:szCs w:val="24"/>
        </w:rPr>
      </w:pPr>
    </w:p>
    <w:p w14:paraId="510FE1E6" w14:textId="695A1F53" w:rsidR="00CB4081" w:rsidRPr="00E84CDE" w:rsidRDefault="00CB4081" w:rsidP="00CB4081">
      <w:pPr>
        <w:spacing w:line="480" w:lineRule="auto"/>
        <w:rPr>
          <w:rFonts w:ascii="Times New Roman" w:hAnsi="Times New Roman" w:cs="Times New Roman"/>
          <w:sz w:val="24"/>
          <w:szCs w:val="24"/>
        </w:rPr>
      </w:pPr>
    </w:p>
    <w:p w14:paraId="4170AD23" w14:textId="1AAEE678" w:rsidR="00CB4081" w:rsidRPr="00E84CDE" w:rsidRDefault="00CB4081" w:rsidP="00CB4081">
      <w:pPr>
        <w:spacing w:line="480" w:lineRule="auto"/>
        <w:rPr>
          <w:rFonts w:ascii="Times New Roman" w:hAnsi="Times New Roman" w:cs="Times New Roman"/>
          <w:sz w:val="24"/>
          <w:szCs w:val="24"/>
        </w:rPr>
      </w:pPr>
    </w:p>
    <w:p w14:paraId="28191F7B" w14:textId="77777777" w:rsidR="00E84CDE" w:rsidRPr="00E84CDE" w:rsidRDefault="00E84CDE" w:rsidP="00331462">
      <w:pPr>
        <w:spacing w:line="480" w:lineRule="auto"/>
        <w:rPr>
          <w:rFonts w:ascii="Times New Roman" w:hAnsi="Times New Roman" w:cs="Times New Roman"/>
          <w:sz w:val="24"/>
          <w:szCs w:val="24"/>
        </w:rPr>
      </w:pPr>
    </w:p>
    <w:sectPr w:rsidR="00E84CDE" w:rsidRPr="00E84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E5180" w14:textId="77777777" w:rsidR="00B25FED" w:rsidRDefault="00B25FED" w:rsidP="00E84CDE">
      <w:pPr>
        <w:spacing w:after="0" w:line="240" w:lineRule="auto"/>
      </w:pPr>
      <w:r>
        <w:separator/>
      </w:r>
    </w:p>
  </w:endnote>
  <w:endnote w:type="continuationSeparator" w:id="0">
    <w:p w14:paraId="1E3B5C2B" w14:textId="77777777" w:rsidR="00B25FED" w:rsidRDefault="00B25FED" w:rsidP="00E8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7E5BD" w14:textId="77777777" w:rsidR="00B25FED" w:rsidRDefault="00B25FED" w:rsidP="00E84CDE">
      <w:pPr>
        <w:spacing w:after="0" w:line="240" w:lineRule="auto"/>
      </w:pPr>
      <w:r>
        <w:separator/>
      </w:r>
    </w:p>
  </w:footnote>
  <w:footnote w:type="continuationSeparator" w:id="0">
    <w:p w14:paraId="1ACD1C0E" w14:textId="77777777" w:rsidR="00B25FED" w:rsidRDefault="00B25FED" w:rsidP="00E84CDE">
      <w:pPr>
        <w:spacing w:after="0" w:line="240" w:lineRule="auto"/>
      </w:pPr>
      <w:r>
        <w:continuationSeparator/>
      </w:r>
    </w:p>
  </w:footnote>
  <w:footnote w:id="1">
    <w:p w14:paraId="73846546" w14:textId="77777777"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Feinman, J. M. (2014). </w:t>
      </w:r>
      <w:r w:rsidRPr="00E84CDE">
        <w:rPr>
          <w:rFonts w:ascii="Times New Roman" w:hAnsi="Times New Roman" w:cs="Times New Roman"/>
          <w:i/>
          <w:iCs/>
          <w:noProof/>
          <w:sz w:val="24"/>
          <w:szCs w:val="24"/>
        </w:rPr>
        <w:t>Law 101.</w:t>
      </w:r>
      <w:r w:rsidRPr="00E84CDE">
        <w:rPr>
          <w:rFonts w:ascii="Times New Roman" w:hAnsi="Times New Roman" w:cs="Times New Roman"/>
          <w:noProof/>
          <w:sz w:val="24"/>
          <w:szCs w:val="24"/>
        </w:rPr>
        <w:t xml:space="preserve"> New York: Oxford University Press.</w:t>
      </w:r>
    </w:p>
    <w:p w14:paraId="375410B8" w14:textId="69AED73E" w:rsidR="00E84CDE" w:rsidRDefault="00E84CDE">
      <w:pPr>
        <w:pStyle w:val="FootnoteText"/>
      </w:pPr>
    </w:p>
  </w:footnote>
  <w:footnote w:id="2">
    <w:p w14:paraId="358D967C" w14:textId="08ED4D26"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Schotten, P. (2004). Marbury v. Madison, Rightly Understood. </w:t>
      </w:r>
      <w:r w:rsidRPr="00E84CDE">
        <w:rPr>
          <w:rFonts w:ascii="Times New Roman" w:hAnsi="Times New Roman" w:cs="Times New Roman"/>
          <w:i/>
          <w:iCs/>
          <w:noProof/>
          <w:sz w:val="24"/>
          <w:szCs w:val="24"/>
        </w:rPr>
        <w:t>Perspectives on Political Science, 33</w:t>
      </w:r>
      <w:r w:rsidRPr="00E84CDE">
        <w:rPr>
          <w:rFonts w:ascii="Times New Roman" w:hAnsi="Times New Roman" w:cs="Times New Roman"/>
          <w:noProof/>
          <w:sz w:val="24"/>
          <w:szCs w:val="24"/>
        </w:rPr>
        <w:t>(3).</w:t>
      </w:r>
    </w:p>
  </w:footnote>
  <w:footnote w:id="3">
    <w:p w14:paraId="39D3AEFF" w14:textId="77777777"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Schotten, P. (2004). Marbury v. Madison, Rightly Understood. </w:t>
      </w:r>
      <w:r w:rsidRPr="00E84CDE">
        <w:rPr>
          <w:rFonts w:ascii="Times New Roman" w:hAnsi="Times New Roman" w:cs="Times New Roman"/>
          <w:i/>
          <w:iCs/>
          <w:noProof/>
          <w:sz w:val="24"/>
          <w:szCs w:val="24"/>
        </w:rPr>
        <w:t>Perspectives on Political Science, 33</w:t>
      </w:r>
      <w:r w:rsidRPr="00E84CDE">
        <w:rPr>
          <w:rFonts w:ascii="Times New Roman" w:hAnsi="Times New Roman" w:cs="Times New Roman"/>
          <w:noProof/>
          <w:sz w:val="24"/>
          <w:szCs w:val="24"/>
        </w:rPr>
        <w:t>(3).</w:t>
      </w:r>
    </w:p>
    <w:p w14:paraId="17F250DA" w14:textId="1CE5E01E" w:rsidR="00E84CDE" w:rsidRDefault="00E84CDE">
      <w:pPr>
        <w:pStyle w:val="FootnoteText"/>
      </w:pPr>
    </w:p>
  </w:footnote>
  <w:footnote w:id="4">
    <w:p w14:paraId="73DAD7E7" w14:textId="25E27A29"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Saffell, D. C. (2001). Marbury vs. Madison: The Origins and Legacy of Judicial Review. </w:t>
      </w:r>
      <w:r w:rsidRPr="00E84CDE">
        <w:rPr>
          <w:rFonts w:ascii="Times New Roman" w:hAnsi="Times New Roman" w:cs="Times New Roman"/>
          <w:i/>
          <w:iCs/>
          <w:noProof/>
          <w:sz w:val="24"/>
          <w:szCs w:val="24"/>
        </w:rPr>
        <w:t>Perspectives on Political Science, 30</w:t>
      </w:r>
      <w:r w:rsidRPr="00E84CDE">
        <w:rPr>
          <w:rFonts w:ascii="Times New Roman" w:hAnsi="Times New Roman" w:cs="Times New Roman"/>
          <w:noProof/>
          <w:sz w:val="24"/>
          <w:szCs w:val="24"/>
        </w:rPr>
        <w:t>(2).</w:t>
      </w:r>
    </w:p>
  </w:footnote>
  <w:footnote w:id="5">
    <w:p w14:paraId="7DA6ADF7" w14:textId="1D1CB287"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Schotten, P. (2004). Marbury v. Madison, Rightly Understood. </w:t>
      </w:r>
      <w:r w:rsidRPr="00E84CDE">
        <w:rPr>
          <w:rFonts w:ascii="Times New Roman" w:hAnsi="Times New Roman" w:cs="Times New Roman"/>
          <w:i/>
          <w:iCs/>
          <w:noProof/>
          <w:sz w:val="24"/>
          <w:szCs w:val="24"/>
        </w:rPr>
        <w:t>Perspectives on Political Science, 33</w:t>
      </w:r>
      <w:r w:rsidRPr="00E84CDE">
        <w:rPr>
          <w:rFonts w:ascii="Times New Roman" w:hAnsi="Times New Roman" w:cs="Times New Roman"/>
          <w:noProof/>
          <w:sz w:val="24"/>
          <w:szCs w:val="24"/>
        </w:rPr>
        <w:t>(3).</w:t>
      </w:r>
    </w:p>
  </w:footnote>
  <w:footnote w:id="6">
    <w:p w14:paraId="1902D7C7" w14:textId="77777777"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Feinman, J. M. (2014). </w:t>
      </w:r>
      <w:r w:rsidRPr="00E84CDE">
        <w:rPr>
          <w:rFonts w:ascii="Times New Roman" w:hAnsi="Times New Roman" w:cs="Times New Roman"/>
          <w:i/>
          <w:iCs/>
          <w:noProof/>
          <w:sz w:val="24"/>
          <w:szCs w:val="24"/>
        </w:rPr>
        <w:t>Law 101.</w:t>
      </w:r>
      <w:r w:rsidRPr="00E84CDE">
        <w:rPr>
          <w:rFonts w:ascii="Times New Roman" w:hAnsi="Times New Roman" w:cs="Times New Roman"/>
          <w:noProof/>
          <w:sz w:val="24"/>
          <w:szCs w:val="24"/>
        </w:rPr>
        <w:t xml:space="preserve"> New York: Oxford University Press.</w:t>
      </w:r>
    </w:p>
    <w:p w14:paraId="18205719" w14:textId="1B61FBBA" w:rsidR="00E84CDE" w:rsidRDefault="00E84CDE">
      <w:pPr>
        <w:pStyle w:val="FootnoteText"/>
      </w:pPr>
    </w:p>
  </w:footnote>
  <w:footnote w:id="7">
    <w:p w14:paraId="3142C61C" w14:textId="77777777" w:rsidR="00E84CDE" w:rsidRPr="00E84CDE" w:rsidRDefault="00E84CDE" w:rsidP="00E84CDE">
      <w:pPr>
        <w:pStyle w:val="Bibliography"/>
        <w:spacing w:line="480" w:lineRule="auto"/>
        <w:ind w:left="720" w:hanging="720"/>
        <w:rPr>
          <w:rFonts w:ascii="Times New Roman" w:hAnsi="Times New Roman" w:cs="Times New Roman"/>
          <w:noProof/>
          <w:sz w:val="24"/>
          <w:szCs w:val="24"/>
        </w:rPr>
      </w:pPr>
      <w:r>
        <w:rPr>
          <w:rStyle w:val="FootnoteReference"/>
        </w:rPr>
        <w:footnoteRef/>
      </w:r>
      <w:r>
        <w:t xml:space="preserve"> </w:t>
      </w:r>
      <w:r w:rsidRPr="00E84CDE">
        <w:rPr>
          <w:rFonts w:ascii="Times New Roman" w:hAnsi="Times New Roman" w:cs="Times New Roman"/>
          <w:noProof/>
          <w:sz w:val="24"/>
          <w:szCs w:val="24"/>
        </w:rPr>
        <w:t xml:space="preserve">Feinman, J. M. (2014). </w:t>
      </w:r>
      <w:r w:rsidRPr="00E84CDE">
        <w:rPr>
          <w:rFonts w:ascii="Times New Roman" w:hAnsi="Times New Roman" w:cs="Times New Roman"/>
          <w:i/>
          <w:iCs/>
          <w:noProof/>
          <w:sz w:val="24"/>
          <w:szCs w:val="24"/>
        </w:rPr>
        <w:t>Law 101.</w:t>
      </w:r>
      <w:r w:rsidRPr="00E84CDE">
        <w:rPr>
          <w:rFonts w:ascii="Times New Roman" w:hAnsi="Times New Roman" w:cs="Times New Roman"/>
          <w:noProof/>
          <w:sz w:val="24"/>
          <w:szCs w:val="24"/>
        </w:rPr>
        <w:t xml:space="preserve"> New York: Oxford University Press.</w:t>
      </w:r>
    </w:p>
    <w:p w14:paraId="050C3BFF" w14:textId="0D2DCDF4" w:rsidR="00E84CDE" w:rsidRDefault="00E84CD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E125D"/>
    <w:rsid w:val="00122719"/>
    <w:rsid w:val="001772D5"/>
    <w:rsid w:val="001E6F61"/>
    <w:rsid w:val="002541CB"/>
    <w:rsid w:val="0031149E"/>
    <w:rsid w:val="00331462"/>
    <w:rsid w:val="006E438C"/>
    <w:rsid w:val="008D38FF"/>
    <w:rsid w:val="00AF1177"/>
    <w:rsid w:val="00B25FED"/>
    <w:rsid w:val="00B74667"/>
    <w:rsid w:val="00CB4081"/>
    <w:rsid w:val="00E84CDE"/>
    <w:rsid w:val="00E86607"/>
    <w:rsid w:val="00E9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93C3"/>
  <w15:chartTrackingRefBased/>
  <w15:docId w15:val="{68E30769-7AAF-41D8-A428-C0BAC842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08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CB4081"/>
  </w:style>
  <w:style w:type="paragraph" w:styleId="Header">
    <w:name w:val="header"/>
    <w:basedOn w:val="Normal"/>
    <w:link w:val="HeaderChar"/>
    <w:uiPriority w:val="99"/>
    <w:unhideWhenUsed/>
    <w:rsid w:val="00E8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DE"/>
  </w:style>
  <w:style w:type="paragraph" w:styleId="Footer">
    <w:name w:val="footer"/>
    <w:basedOn w:val="Normal"/>
    <w:link w:val="FooterChar"/>
    <w:uiPriority w:val="99"/>
    <w:unhideWhenUsed/>
    <w:rsid w:val="00E8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DE"/>
  </w:style>
  <w:style w:type="paragraph" w:styleId="FootnoteText">
    <w:name w:val="footnote text"/>
    <w:basedOn w:val="Normal"/>
    <w:link w:val="FootnoteTextChar"/>
    <w:uiPriority w:val="99"/>
    <w:semiHidden/>
    <w:unhideWhenUsed/>
    <w:rsid w:val="00E84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CDE"/>
    <w:rPr>
      <w:sz w:val="20"/>
      <w:szCs w:val="20"/>
    </w:rPr>
  </w:style>
  <w:style w:type="character" w:styleId="FootnoteReference">
    <w:name w:val="footnote reference"/>
    <w:basedOn w:val="DefaultParagraphFont"/>
    <w:uiPriority w:val="99"/>
    <w:semiHidden/>
    <w:unhideWhenUsed/>
    <w:rsid w:val="00E84CDE"/>
    <w:rPr>
      <w:vertAlign w:val="superscript"/>
    </w:rPr>
  </w:style>
  <w:style w:type="paragraph" w:styleId="EndnoteText">
    <w:name w:val="endnote text"/>
    <w:basedOn w:val="Normal"/>
    <w:link w:val="EndnoteTextChar"/>
    <w:uiPriority w:val="99"/>
    <w:semiHidden/>
    <w:unhideWhenUsed/>
    <w:rsid w:val="00E8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4CDE"/>
    <w:rPr>
      <w:sz w:val="20"/>
      <w:szCs w:val="20"/>
    </w:rPr>
  </w:style>
  <w:style w:type="character" w:styleId="EndnoteReference">
    <w:name w:val="endnote reference"/>
    <w:basedOn w:val="DefaultParagraphFont"/>
    <w:uiPriority w:val="99"/>
    <w:semiHidden/>
    <w:unhideWhenUsed/>
    <w:rsid w:val="00E84C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620">
      <w:bodyDiv w:val="1"/>
      <w:marLeft w:val="0"/>
      <w:marRight w:val="0"/>
      <w:marTop w:val="0"/>
      <w:marBottom w:val="0"/>
      <w:divBdr>
        <w:top w:val="none" w:sz="0" w:space="0" w:color="auto"/>
        <w:left w:val="none" w:sz="0" w:space="0" w:color="auto"/>
        <w:bottom w:val="none" w:sz="0" w:space="0" w:color="auto"/>
        <w:right w:val="none" w:sz="0" w:space="0" w:color="auto"/>
      </w:divBdr>
    </w:div>
    <w:div w:id="383724824">
      <w:bodyDiv w:val="1"/>
      <w:marLeft w:val="0"/>
      <w:marRight w:val="0"/>
      <w:marTop w:val="0"/>
      <w:marBottom w:val="0"/>
      <w:divBdr>
        <w:top w:val="none" w:sz="0" w:space="0" w:color="auto"/>
        <w:left w:val="none" w:sz="0" w:space="0" w:color="auto"/>
        <w:bottom w:val="none" w:sz="0" w:space="0" w:color="auto"/>
        <w:right w:val="none" w:sz="0" w:space="0" w:color="auto"/>
      </w:divBdr>
    </w:div>
    <w:div w:id="493687050">
      <w:bodyDiv w:val="1"/>
      <w:marLeft w:val="0"/>
      <w:marRight w:val="0"/>
      <w:marTop w:val="0"/>
      <w:marBottom w:val="0"/>
      <w:divBdr>
        <w:top w:val="none" w:sz="0" w:space="0" w:color="auto"/>
        <w:left w:val="none" w:sz="0" w:space="0" w:color="auto"/>
        <w:bottom w:val="none" w:sz="0" w:space="0" w:color="auto"/>
        <w:right w:val="none" w:sz="0" w:space="0" w:color="auto"/>
      </w:divBdr>
    </w:div>
    <w:div w:id="1223567309">
      <w:bodyDiv w:val="1"/>
      <w:marLeft w:val="0"/>
      <w:marRight w:val="0"/>
      <w:marTop w:val="0"/>
      <w:marBottom w:val="0"/>
      <w:divBdr>
        <w:top w:val="none" w:sz="0" w:space="0" w:color="auto"/>
        <w:left w:val="none" w:sz="0" w:space="0" w:color="auto"/>
        <w:bottom w:val="none" w:sz="0" w:space="0" w:color="auto"/>
        <w:right w:val="none" w:sz="0" w:space="0" w:color="auto"/>
      </w:divBdr>
    </w:div>
    <w:div w:id="1317995005">
      <w:bodyDiv w:val="1"/>
      <w:marLeft w:val="0"/>
      <w:marRight w:val="0"/>
      <w:marTop w:val="0"/>
      <w:marBottom w:val="0"/>
      <w:divBdr>
        <w:top w:val="none" w:sz="0" w:space="0" w:color="auto"/>
        <w:left w:val="none" w:sz="0" w:space="0" w:color="auto"/>
        <w:bottom w:val="none" w:sz="0" w:space="0" w:color="auto"/>
        <w:right w:val="none" w:sz="0" w:space="0" w:color="auto"/>
      </w:divBdr>
    </w:div>
    <w:div w:id="1366976779">
      <w:bodyDiv w:val="1"/>
      <w:marLeft w:val="0"/>
      <w:marRight w:val="0"/>
      <w:marTop w:val="0"/>
      <w:marBottom w:val="0"/>
      <w:divBdr>
        <w:top w:val="none" w:sz="0" w:space="0" w:color="auto"/>
        <w:left w:val="none" w:sz="0" w:space="0" w:color="auto"/>
        <w:bottom w:val="none" w:sz="0" w:space="0" w:color="auto"/>
        <w:right w:val="none" w:sz="0" w:space="0" w:color="auto"/>
      </w:divBdr>
    </w:div>
    <w:div w:id="1414276777">
      <w:bodyDiv w:val="1"/>
      <w:marLeft w:val="0"/>
      <w:marRight w:val="0"/>
      <w:marTop w:val="0"/>
      <w:marBottom w:val="0"/>
      <w:divBdr>
        <w:top w:val="none" w:sz="0" w:space="0" w:color="auto"/>
        <w:left w:val="none" w:sz="0" w:space="0" w:color="auto"/>
        <w:bottom w:val="none" w:sz="0" w:space="0" w:color="auto"/>
        <w:right w:val="none" w:sz="0" w:space="0" w:color="auto"/>
      </w:divBdr>
    </w:div>
    <w:div w:id="1729526126">
      <w:bodyDiv w:val="1"/>
      <w:marLeft w:val="0"/>
      <w:marRight w:val="0"/>
      <w:marTop w:val="0"/>
      <w:marBottom w:val="0"/>
      <w:divBdr>
        <w:top w:val="none" w:sz="0" w:space="0" w:color="auto"/>
        <w:left w:val="none" w:sz="0" w:space="0" w:color="auto"/>
        <w:bottom w:val="none" w:sz="0" w:space="0" w:color="auto"/>
        <w:right w:val="none" w:sz="0" w:space="0" w:color="auto"/>
      </w:divBdr>
    </w:div>
    <w:div w:id="1773545790">
      <w:bodyDiv w:val="1"/>
      <w:marLeft w:val="0"/>
      <w:marRight w:val="0"/>
      <w:marTop w:val="0"/>
      <w:marBottom w:val="0"/>
      <w:divBdr>
        <w:top w:val="none" w:sz="0" w:space="0" w:color="auto"/>
        <w:left w:val="none" w:sz="0" w:space="0" w:color="auto"/>
        <w:bottom w:val="none" w:sz="0" w:space="0" w:color="auto"/>
        <w:right w:val="none" w:sz="0" w:space="0" w:color="auto"/>
      </w:divBdr>
    </w:div>
    <w:div w:id="1796096143">
      <w:bodyDiv w:val="1"/>
      <w:marLeft w:val="0"/>
      <w:marRight w:val="0"/>
      <w:marTop w:val="0"/>
      <w:marBottom w:val="0"/>
      <w:divBdr>
        <w:top w:val="none" w:sz="0" w:space="0" w:color="auto"/>
        <w:left w:val="none" w:sz="0" w:space="0" w:color="auto"/>
        <w:bottom w:val="none" w:sz="0" w:space="0" w:color="auto"/>
        <w:right w:val="none" w:sz="0" w:space="0" w:color="auto"/>
      </w:divBdr>
    </w:div>
    <w:div w:id="19670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Saf01</b:Tag>
    <b:SourceType>JournalArticle</b:SourceType>
    <b:Guid>{C2AACB21-0E35-4B86-BAA5-146216397FC2}</b:Guid>
    <b:Title>Marbury vs. Madison: The Origins and Legacy of Judicial Review</b:Title>
    <b:JournalName>Perspectives on Political Science</b:JournalName>
    <b:Year>2001</b:Year>
    <b:Author>
      <b:Author>
        <b:NameList>
          <b:Person>
            <b:Last>Saffell</b:Last>
            <b:First>David</b:First>
            <b:Middle>C.</b:Middle>
          </b:Person>
        </b:NameList>
      </b:Author>
    </b:Author>
    <b:Volume>30</b:Volume>
    <b:Issue>2</b:Issue>
    <b:RefOrder>1</b:RefOrder>
  </b:Source>
  <b:Source>
    <b:Tag>Fei14</b:Tag>
    <b:SourceType>Book</b:SourceType>
    <b:Guid>{80AB4A4A-4070-4CA7-8344-6C0552675C5D}</b:Guid>
    <b:Title>Law 101</b:Title>
    <b:Year>2014</b:Year>
    <b:Author>
      <b:Author>
        <b:NameList>
          <b:Person>
            <b:Last>Feinman</b:Last>
            <b:First>Jay</b:First>
            <b:Middle>M.</b:Middle>
          </b:Person>
        </b:NameList>
      </b:Author>
    </b:Author>
    <b:City>New York</b:City>
    <b:Publisher>Oxford University Press</b:Publisher>
    <b:RefOrder>2</b:RefOrder>
  </b:Source>
  <b:Source>
    <b:Tag>Pet</b:Tag>
    <b:SourceType>JournalArticle</b:SourceType>
    <b:Guid>{9BD96D10-6436-4D15-9CAF-9887A72F6FE0}</b:Guid>
    <b:Author>
      <b:Author>
        <b:NameList>
          <b:Person>
            <b:Last>Schotten</b:Last>
            <b:First>Peter</b:First>
          </b:Person>
        </b:NameList>
      </b:Author>
    </b:Author>
    <b:Title>Marbury v. Madison, Rightly Understood</b:Title>
    <b:Year>2004</b:Year>
    <b:JournalName>Perspectives on Political Science</b:JournalName>
    <b:Volume>33</b:Volume>
    <b:Issue>3</b:Issue>
    <b:RefOrder>3</b:RefOrder>
  </b:Source>
</b:Sources>
</file>

<file path=customXml/itemProps1.xml><?xml version="1.0" encoding="utf-8"?>
<ds:datastoreItem xmlns:ds="http://schemas.openxmlformats.org/officeDocument/2006/customXml" ds:itemID="{28B2E2B4-AD87-4C05-AEFC-38D73F5E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Robinson</dc:creator>
  <cp:keywords/>
  <dc:description/>
  <cp:lastModifiedBy>Jamie Burden</cp:lastModifiedBy>
  <cp:revision>2</cp:revision>
  <dcterms:created xsi:type="dcterms:W3CDTF">2018-11-28T21:04:00Z</dcterms:created>
  <dcterms:modified xsi:type="dcterms:W3CDTF">2018-11-28T21:04:00Z</dcterms:modified>
</cp:coreProperties>
</file>