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54E" w:rsidRDefault="004C36F9" w:rsidP="004C36F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DFB717E" wp14:editId="0D59AC02">
            <wp:extent cx="8315325" cy="4276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3321"/>
                    <a:stretch/>
                  </pic:blipFill>
                  <pic:spPr bwMode="auto">
                    <a:xfrm>
                      <a:off x="0" y="0"/>
                      <a:ext cx="8315325" cy="427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654E" w:rsidRDefault="00EC654E" w:rsidP="004C36F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C654E" w:rsidRDefault="00EC654E" w:rsidP="004C36F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C654E" w:rsidRDefault="004C36F9" w:rsidP="004C36F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C36F9">
        <w:lastRenderedPageBreak/>
        <w:drawing>
          <wp:inline distT="0" distB="0" distL="0" distR="0" wp14:anchorId="433D6E18" wp14:editId="487A8817">
            <wp:extent cx="8582025" cy="4229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1682"/>
                    <a:stretch/>
                  </pic:blipFill>
                  <pic:spPr bwMode="auto">
                    <a:xfrm>
                      <a:off x="0" y="0"/>
                      <a:ext cx="8582025" cy="422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654E" w:rsidRDefault="00EC654E" w:rsidP="004C36F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5DC7" w:rsidRPr="004D5DC7" w:rsidRDefault="004D5DC7" w:rsidP="004D5DC7">
      <w:pPr>
        <w:pStyle w:val="APA"/>
        <w:ind w:firstLine="0"/>
      </w:pPr>
      <w:proofErr w:type="spellStart"/>
      <w:r w:rsidRPr="004D5DC7">
        <w:rPr>
          <w:lang w:val="x-none"/>
        </w:rPr>
        <w:t>Denhardt</w:t>
      </w:r>
      <w:proofErr w:type="spellEnd"/>
      <w:r w:rsidRPr="004D5DC7">
        <w:rPr>
          <w:lang w:val="x-none"/>
        </w:rPr>
        <w:t>, R.</w:t>
      </w:r>
      <w:r w:rsidRPr="004D5DC7">
        <w:t xml:space="preserve"> </w:t>
      </w:r>
      <w:r w:rsidRPr="004D5DC7">
        <w:rPr>
          <w:lang w:val="x-none"/>
        </w:rPr>
        <w:t>B.,</w:t>
      </w:r>
      <w:r w:rsidRPr="004D5DC7">
        <w:t xml:space="preserve"> </w:t>
      </w:r>
      <w:proofErr w:type="spellStart"/>
      <w:r w:rsidRPr="004D5DC7">
        <w:rPr>
          <w:lang w:val="x-none"/>
        </w:rPr>
        <w:t>Denhardt</w:t>
      </w:r>
      <w:proofErr w:type="spellEnd"/>
      <w:r w:rsidRPr="004D5DC7">
        <w:rPr>
          <w:lang w:val="x-none"/>
        </w:rPr>
        <w:t>, J.</w:t>
      </w:r>
      <w:r w:rsidRPr="004D5DC7">
        <w:t xml:space="preserve"> </w:t>
      </w:r>
      <w:r w:rsidRPr="004D5DC7">
        <w:rPr>
          <w:lang w:val="x-none"/>
        </w:rPr>
        <w:t>V.</w:t>
      </w:r>
      <w:r w:rsidRPr="004D5DC7">
        <w:t>, &amp; Blanc, T. A.</w:t>
      </w:r>
      <w:r w:rsidRPr="004D5DC7">
        <w:rPr>
          <w:lang w:val="x-none"/>
        </w:rPr>
        <w:t xml:space="preserve"> (20</w:t>
      </w:r>
      <w:r w:rsidRPr="004D5DC7">
        <w:t>14</w:t>
      </w:r>
      <w:r w:rsidRPr="004D5DC7">
        <w:rPr>
          <w:lang w:val="x-none"/>
        </w:rPr>
        <w:t xml:space="preserve">). </w:t>
      </w:r>
      <w:r w:rsidRPr="004D5DC7">
        <w:rPr>
          <w:i/>
          <w:lang w:val="x-none"/>
        </w:rPr>
        <w:t>Public administration: An action orientation</w:t>
      </w:r>
      <w:r w:rsidRPr="004D5DC7">
        <w:rPr>
          <w:lang w:val="x-none"/>
        </w:rPr>
        <w:t xml:space="preserve"> (</w:t>
      </w:r>
      <w:r w:rsidRPr="004D5DC7">
        <w:t>7</w:t>
      </w:r>
      <w:proofErr w:type="spellStart"/>
      <w:r w:rsidRPr="004D5DC7">
        <w:rPr>
          <w:lang w:val="x-none"/>
        </w:rPr>
        <w:t>th</w:t>
      </w:r>
      <w:proofErr w:type="spellEnd"/>
      <w:r w:rsidRPr="004D5DC7">
        <w:rPr>
          <w:lang w:val="x-none"/>
        </w:rPr>
        <w:t xml:space="preserve"> ed.). Belmont, CA: Thompson – Wadsworth – Cengage Learning.</w:t>
      </w:r>
    </w:p>
    <w:p w:rsidR="00AF5740" w:rsidRDefault="00AF5740" w:rsidP="008D0CA6">
      <w:pPr>
        <w:pStyle w:val="APA"/>
        <w:ind w:firstLine="0"/>
      </w:pPr>
    </w:p>
    <w:sectPr w:rsidR="00AF5740" w:rsidSect="004C36F9">
      <w:headerReference w:type="default" r:id="rId10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F9A" w:rsidRDefault="003E5F9A" w:rsidP="00152347">
      <w:pPr>
        <w:spacing w:after="0" w:line="240" w:lineRule="auto"/>
      </w:pPr>
      <w:r>
        <w:separator/>
      </w:r>
    </w:p>
  </w:endnote>
  <w:endnote w:type="continuationSeparator" w:id="0">
    <w:p w:rsidR="003E5F9A" w:rsidRDefault="003E5F9A" w:rsidP="0015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F9A" w:rsidRDefault="003E5F9A" w:rsidP="00152347">
      <w:pPr>
        <w:spacing w:after="0" w:line="240" w:lineRule="auto"/>
      </w:pPr>
      <w:r>
        <w:separator/>
      </w:r>
    </w:p>
  </w:footnote>
  <w:footnote w:type="continuationSeparator" w:id="0">
    <w:p w:rsidR="003E5F9A" w:rsidRDefault="003E5F9A" w:rsidP="00152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1093110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52347" w:rsidRPr="0062455E" w:rsidRDefault="009E147B">
        <w:pPr>
          <w:pStyle w:val="Header"/>
          <w:rPr>
            <w:rFonts w:ascii="Times New Roman" w:hAnsi="Times New Roman" w:cs="Times New Roman"/>
            <w:bCs/>
            <w:sz w:val="24"/>
            <w:szCs w:val="24"/>
          </w:rPr>
        </w:pPr>
        <w:r w:rsidRPr="009E147B">
          <w:rPr>
            <w:rFonts w:ascii="Times New Roman" w:hAnsi="Times New Roman" w:cs="Times New Roman"/>
            <w:bCs/>
            <w:sz w:val="24"/>
            <w:szCs w:val="24"/>
          </w:rPr>
          <w:t>MANAGING COMPETING AGENDAS</w:t>
        </w:r>
        <w:r>
          <w:rPr>
            <w:rFonts w:ascii="Times New Roman" w:hAnsi="Times New Roman" w:cs="Times New Roman"/>
            <w:bCs/>
            <w:sz w:val="24"/>
            <w:szCs w:val="24"/>
          </w:rPr>
          <w:tab/>
        </w:r>
        <w:r w:rsidR="006C4140">
          <w:rPr>
            <w:rFonts w:ascii="Times New Roman" w:hAnsi="Times New Roman" w:cs="Times New Roman"/>
            <w:bCs/>
            <w:sz w:val="24"/>
            <w:szCs w:val="24"/>
          </w:rPr>
          <w:tab/>
        </w:r>
        <w:r w:rsidR="00152347" w:rsidRPr="000263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52347" w:rsidRPr="0002638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52347" w:rsidRPr="000263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275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152347" w:rsidRPr="0002638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52347" w:rsidRPr="00026381" w:rsidRDefault="00152347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25E8"/>
    <w:multiLevelType w:val="multilevel"/>
    <w:tmpl w:val="D7D4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270A3"/>
    <w:multiLevelType w:val="multilevel"/>
    <w:tmpl w:val="CF6E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2313E"/>
    <w:multiLevelType w:val="multilevel"/>
    <w:tmpl w:val="885CD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182144"/>
    <w:multiLevelType w:val="multilevel"/>
    <w:tmpl w:val="E452D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961BD2"/>
    <w:multiLevelType w:val="multilevel"/>
    <w:tmpl w:val="FFC8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17429A"/>
    <w:multiLevelType w:val="multilevel"/>
    <w:tmpl w:val="95C0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2150BF"/>
    <w:multiLevelType w:val="multilevel"/>
    <w:tmpl w:val="CBA4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091FCF"/>
    <w:multiLevelType w:val="multilevel"/>
    <w:tmpl w:val="1284A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4656A0"/>
    <w:multiLevelType w:val="hybridMultilevel"/>
    <w:tmpl w:val="A2006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0C7F7C"/>
    <w:multiLevelType w:val="hybridMultilevel"/>
    <w:tmpl w:val="F6085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F1F9F"/>
    <w:multiLevelType w:val="multilevel"/>
    <w:tmpl w:val="A6CA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D52A32"/>
    <w:multiLevelType w:val="hybridMultilevel"/>
    <w:tmpl w:val="183C1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82DA7"/>
    <w:multiLevelType w:val="multilevel"/>
    <w:tmpl w:val="419C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BE5D6F"/>
    <w:multiLevelType w:val="hybridMultilevel"/>
    <w:tmpl w:val="6260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36BAA"/>
    <w:multiLevelType w:val="hybridMultilevel"/>
    <w:tmpl w:val="55CE1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648FE"/>
    <w:multiLevelType w:val="multilevel"/>
    <w:tmpl w:val="D8D4B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6566A1"/>
    <w:multiLevelType w:val="multilevel"/>
    <w:tmpl w:val="D872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69C1239"/>
    <w:multiLevelType w:val="multilevel"/>
    <w:tmpl w:val="A2FAB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BE65C3"/>
    <w:multiLevelType w:val="multilevel"/>
    <w:tmpl w:val="63F4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202723"/>
    <w:multiLevelType w:val="multilevel"/>
    <w:tmpl w:val="615A1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23B65BE"/>
    <w:multiLevelType w:val="multilevel"/>
    <w:tmpl w:val="0DA6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3A77F2B"/>
    <w:multiLevelType w:val="hybridMultilevel"/>
    <w:tmpl w:val="E87C9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C84B42"/>
    <w:multiLevelType w:val="multilevel"/>
    <w:tmpl w:val="D352A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DDF00B5"/>
    <w:multiLevelType w:val="hybridMultilevel"/>
    <w:tmpl w:val="A65A5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5577A"/>
    <w:multiLevelType w:val="multilevel"/>
    <w:tmpl w:val="3DEC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834882"/>
    <w:multiLevelType w:val="multilevel"/>
    <w:tmpl w:val="EB1AE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8C516E"/>
    <w:multiLevelType w:val="multilevel"/>
    <w:tmpl w:val="4A6EC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8853A7"/>
    <w:multiLevelType w:val="multilevel"/>
    <w:tmpl w:val="E316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BF11B52"/>
    <w:multiLevelType w:val="hybridMultilevel"/>
    <w:tmpl w:val="9D648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4"/>
  </w:num>
  <w:num w:numId="5">
    <w:abstractNumId w:val="18"/>
  </w:num>
  <w:num w:numId="6">
    <w:abstractNumId w:val="5"/>
  </w:num>
  <w:num w:numId="7">
    <w:abstractNumId w:val="20"/>
  </w:num>
  <w:num w:numId="8">
    <w:abstractNumId w:val="22"/>
  </w:num>
  <w:num w:numId="9">
    <w:abstractNumId w:val="12"/>
  </w:num>
  <w:num w:numId="10">
    <w:abstractNumId w:val="21"/>
  </w:num>
  <w:num w:numId="11">
    <w:abstractNumId w:val="8"/>
  </w:num>
  <w:num w:numId="12">
    <w:abstractNumId w:val="17"/>
  </w:num>
  <w:num w:numId="13">
    <w:abstractNumId w:val="16"/>
  </w:num>
  <w:num w:numId="14">
    <w:abstractNumId w:val="23"/>
  </w:num>
  <w:num w:numId="15">
    <w:abstractNumId w:val="25"/>
  </w:num>
  <w:num w:numId="16">
    <w:abstractNumId w:val="10"/>
  </w:num>
  <w:num w:numId="17">
    <w:abstractNumId w:val="1"/>
  </w:num>
  <w:num w:numId="18">
    <w:abstractNumId w:val="15"/>
  </w:num>
  <w:num w:numId="19">
    <w:abstractNumId w:val="26"/>
  </w:num>
  <w:num w:numId="20">
    <w:abstractNumId w:val="2"/>
  </w:num>
  <w:num w:numId="21">
    <w:abstractNumId w:val="27"/>
  </w:num>
  <w:num w:numId="22">
    <w:abstractNumId w:val="11"/>
  </w:num>
  <w:num w:numId="23">
    <w:abstractNumId w:val="13"/>
  </w:num>
  <w:num w:numId="24">
    <w:abstractNumId w:val="9"/>
  </w:num>
  <w:num w:numId="25">
    <w:abstractNumId w:val="14"/>
  </w:num>
  <w:num w:numId="26">
    <w:abstractNumId w:val="28"/>
  </w:num>
  <w:num w:numId="27">
    <w:abstractNumId w:val="7"/>
  </w:num>
  <w:num w:numId="28">
    <w:abstractNumId w:val="6"/>
  </w:num>
  <w:num w:numId="29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7"/>
    <w:rsid w:val="00002BF8"/>
    <w:rsid w:val="0000457A"/>
    <w:rsid w:val="000176ED"/>
    <w:rsid w:val="00024857"/>
    <w:rsid w:val="00026381"/>
    <w:rsid w:val="00053572"/>
    <w:rsid w:val="000553AD"/>
    <w:rsid w:val="00062FF7"/>
    <w:rsid w:val="00073647"/>
    <w:rsid w:val="0007690C"/>
    <w:rsid w:val="00097A51"/>
    <w:rsid w:val="000A11C1"/>
    <w:rsid w:val="000A2856"/>
    <w:rsid w:val="000A39D2"/>
    <w:rsid w:val="000B6492"/>
    <w:rsid w:val="000C2E52"/>
    <w:rsid w:val="000D29D8"/>
    <w:rsid w:val="000E5A58"/>
    <w:rsid w:val="001015A2"/>
    <w:rsid w:val="00103F26"/>
    <w:rsid w:val="001105BA"/>
    <w:rsid w:val="001166AD"/>
    <w:rsid w:val="00130DA9"/>
    <w:rsid w:val="0013487B"/>
    <w:rsid w:val="00135A15"/>
    <w:rsid w:val="00140338"/>
    <w:rsid w:val="001427B1"/>
    <w:rsid w:val="001435EF"/>
    <w:rsid w:val="0015000A"/>
    <w:rsid w:val="00151FAB"/>
    <w:rsid w:val="00152347"/>
    <w:rsid w:val="00160349"/>
    <w:rsid w:val="00171F6B"/>
    <w:rsid w:val="00193678"/>
    <w:rsid w:val="001956FE"/>
    <w:rsid w:val="001A2948"/>
    <w:rsid w:val="001A760C"/>
    <w:rsid w:val="001B024C"/>
    <w:rsid w:val="001B248C"/>
    <w:rsid w:val="001B2796"/>
    <w:rsid w:val="001B6C90"/>
    <w:rsid w:val="001C526E"/>
    <w:rsid w:val="001D160B"/>
    <w:rsid w:val="001E2B5F"/>
    <w:rsid w:val="001E3A8A"/>
    <w:rsid w:val="001E40C6"/>
    <w:rsid w:val="001F4314"/>
    <w:rsid w:val="00200BB9"/>
    <w:rsid w:val="002033BF"/>
    <w:rsid w:val="00207644"/>
    <w:rsid w:val="0021299B"/>
    <w:rsid w:val="0021510C"/>
    <w:rsid w:val="00222D54"/>
    <w:rsid w:val="0022773A"/>
    <w:rsid w:val="00232929"/>
    <w:rsid w:val="00237479"/>
    <w:rsid w:val="00255267"/>
    <w:rsid w:val="002665F3"/>
    <w:rsid w:val="00267F58"/>
    <w:rsid w:val="00275FFB"/>
    <w:rsid w:val="00283310"/>
    <w:rsid w:val="00292D12"/>
    <w:rsid w:val="002E530B"/>
    <w:rsid w:val="002F4380"/>
    <w:rsid w:val="002F6698"/>
    <w:rsid w:val="00303835"/>
    <w:rsid w:val="00305E50"/>
    <w:rsid w:val="00306565"/>
    <w:rsid w:val="00313E67"/>
    <w:rsid w:val="00316DC9"/>
    <w:rsid w:val="00324914"/>
    <w:rsid w:val="00330D17"/>
    <w:rsid w:val="00330FD4"/>
    <w:rsid w:val="00346B3F"/>
    <w:rsid w:val="00355252"/>
    <w:rsid w:val="00380387"/>
    <w:rsid w:val="00386006"/>
    <w:rsid w:val="003875A7"/>
    <w:rsid w:val="0039051A"/>
    <w:rsid w:val="00393DED"/>
    <w:rsid w:val="003C2D03"/>
    <w:rsid w:val="003C7643"/>
    <w:rsid w:val="003D42D1"/>
    <w:rsid w:val="003E5F9A"/>
    <w:rsid w:val="003F2FE2"/>
    <w:rsid w:val="00400C8C"/>
    <w:rsid w:val="0040124D"/>
    <w:rsid w:val="004039AC"/>
    <w:rsid w:val="00403EC3"/>
    <w:rsid w:val="004120F0"/>
    <w:rsid w:val="004169AD"/>
    <w:rsid w:val="00417B76"/>
    <w:rsid w:val="00430D2D"/>
    <w:rsid w:val="0043247A"/>
    <w:rsid w:val="00444D91"/>
    <w:rsid w:val="00454AFC"/>
    <w:rsid w:val="00460420"/>
    <w:rsid w:val="004628EC"/>
    <w:rsid w:val="00477F18"/>
    <w:rsid w:val="00481681"/>
    <w:rsid w:val="004855A6"/>
    <w:rsid w:val="0049304F"/>
    <w:rsid w:val="004B29FA"/>
    <w:rsid w:val="004B2FFC"/>
    <w:rsid w:val="004B35AF"/>
    <w:rsid w:val="004C23EB"/>
    <w:rsid w:val="004C36F9"/>
    <w:rsid w:val="004D5B17"/>
    <w:rsid w:val="004D5DC7"/>
    <w:rsid w:val="004E3E4B"/>
    <w:rsid w:val="004E41A5"/>
    <w:rsid w:val="004F7A72"/>
    <w:rsid w:val="00514765"/>
    <w:rsid w:val="0052499A"/>
    <w:rsid w:val="005301EE"/>
    <w:rsid w:val="00531F74"/>
    <w:rsid w:val="00533141"/>
    <w:rsid w:val="00544DE6"/>
    <w:rsid w:val="00550C71"/>
    <w:rsid w:val="0056009C"/>
    <w:rsid w:val="00561627"/>
    <w:rsid w:val="005625E4"/>
    <w:rsid w:val="005702F7"/>
    <w:rsid w:val="00572825"/>
    <w:rsid w:val="00572AEB"/>
    <w:rsid w:val="00575FED"/>
    <w:rsid w:val="0058428F"/>
    <w:rsid w:val="005B07DD"/>
    <w:rsid w:val="005B7E61"/>
    <w:rsid w:val="005C24A7"/>
    <w:rsid w:val="005D1D8E"/>
    <w:rsid w:val="005D3747"/>
    <w:rsid w:val="005D4143"/>
    <w:rsid w:val="005E3FC3"/>
    <w:rsid w:val="005E5AB9"/>
    <w:rsid w:val="005F2DF9"/>
    <w:rsid w:val="00614AAA"/>
    <w:rsid w:val="0062092A"/>
    <w:rsid w:val="0062455E"/>
    <w:rsid w:val="00624DF8"/>
    <w:rsid w:val="0064160A"/>
    <w:rsid w:val="00667A1E"/>
    <w:rsid w:val="00676FE8"/>
    <w:rsid w:val="00677396"/>
    <w:rsid w:val="00697954"/>
    <w:rsid w:val="006A0080"/>
    <w:rsid w:val="006A09EC"/>
    <w:rsid w:val="006A1256"/>
    <w:rsid w:val="006A1B3F"/>
    <w:rsid w:val="006A3BF6"/>
    <w:rsid w:val="006B2DE0"/>
    <w:rsid w:val="006B6DEC"/>
    <w:rsid w:val="006C4140"/>
    <w:rsid w:val="006D1A8D"/>
    <w:rsid w:val="006D273D"/>
    <w:rsid w:val="006D630D"/>
    <w:rsid w:val="006E01E6"/>
    <w:rsid w:val="00700073"/>
    <w:rsid w:val="00704B33"/>
    <w:rsid w:val="00705362"/>
    <w:rsid w:val="0070680D"/>
    <w:rsid w:val="007225AE"/>
    <w:rsid w:val="0075158F"/>
    <w:rsid w:val="00753BB2"/>
    <w:rsid w:val="00764958"/>
    <w:rsid w:val="007A5A10"/>
    <w:rsid w:val="007B4A08"/>
    <w:rsid w:val="007C6993"/>
    <w:rsid w:val="007C6C83"/>
    <w:rsid w:val="007E0AFD"/>
    <w:rsid w:val="007F16D7"/>
    <w:rsid w:val="00801640"/>
    <w:rsid w:val="00806DC5"/>
    <w:rsid w:val="0080743A"/>
    <w:rsid w:val="0082263A"/>
    <w:rsid w:val="00825D5A"/>
    <w:rsid w:val="0083203A"/>
    <w:rsid w:val="00850EA5"/>
    <w:rsid w:val="00860316"/>
    <w:rsid w:val="00867A00"/>
    <w:rsid w:val="008721F8"/>
    <w:rsid w:val="00876FAB"/>
    <w:rsid w:val="00877BDF"/>
    <w:rsid w:val="008A0B0A"/>
    <w:rsid w:val="008B4A13"/>
    <w:rsid w:val="008C283C"/>
    <w:rsid w:val="008D0CA6"/>
    <w:rsid w:val="008E413B"/>
    <w:rsid w:val="00906597"/>
    <w:rsid w:val="00916B12"/>
    <w:rsid w:val="00925EC5"/>
    <w:rsid w:val="00936739"/>
    <w:rsid w:val="0095638B"/>
    <w:rsid w:val="00980F89"/>
    <w:rsid w:val="009816BD"/>
    <w:rsid w:val="00994848"/>
    <w:rsid w:val="009A5ED1"/>
    <w:rsid w:val="009C7EF7"/>
    <w:rsid w:val="009D2DCE"/>
    <w:rsid w:val="009E1336"/>
    <w:rsid w:val="009E147B"/>
    <w:rsid w:val="009E3F68"/>
    <w:rsid w:val="009F24A4"/>
    <w:rsid w:val="00A00B8E"/>
    <w:rsid w:val="00A056AC"/>
    <w:rsid w:val="00A06638"/>
    <w:rsid w:val="00A147F1"/>
    <w:rsid w:val="00A258B3"/>
    <w:rsid w:val="00A45948"/>
    <w:rsid w:val="00A518C8"/>
    <w:rsid w:val="00A51E9C"/>
    <w:rsid w:val="00A61605"/>
    <w:rsid w:val="00A80AF7"/>
    <w:rsid w:val="00A843DF"/>
    <w:rsid w:val="00A85FD2"/>
    <w:rsid w:val="00AA569B"/>
    <w:rsid w:val="00AA7CAD"/>
    <w:rsid w:val="00AC3963"/>
    <w:rsid w:val="00AD1793"/>
    <w:rsid w:val="00AE5FE1"/>
    <w:rsid w:val="00AF5740"/>
    <w:rsid w:val="00AF7086"/>
    <w:rsid w:val="00B00ADE"/>
    <w:rsid w:val="00B013DB"/>
    <w:rsid w:val="00B06860"/>
    <w:rsid w:val="00B06A6F"/>
    <w:rsid w:val="00B22F41"/>
    <w:rsid w:val="00B238E0"/>
    <w:rsid w:val="00B47348"/>
    <w:rsid w:val="00B67DE7"/>
    <w:rsid w:val="00B775AB"/>
    <w:rsid w:val="00B869CA"/>
    <w:rsid w:val="00B9399D"/>
    <w:rsid w:val="00BA4E79"/>
    <w:rsid w:val="00BC2107"/>
    <w:rsid w:val="00BC2985"/>
    <w:rsid w:val="00BC2EA4"/>
    <w:rsid w:val="00C01639"/>
    <w:rsid w:val="00C035EC"/>
    <w:rsid w:val="00C04468"/>
    <w:rsid w:val="00C125EB"/>
    <w:rsid w:val="00C26D71"/>
    <w:rsid w:val="00C304AA"/>
    <w:rsid w:val="00C34C70"/>
    <w:rsid w:val="00C36395"/>
    <w:rsid w:val="00C37175"/>
    <w:rsid w:val="00C568ED"/>
    <w:rsid w:val="00C70792"/>
    <w:rsid w:val="00C918F2"/>
    <w:rsid w:val="00C9270D"/>
    <w:rsid w:val="00CB3E22"/>
    <w:rsid w:val="00CB5D5E"/>
    <w:rsid w:val="00CC0D58"/>
    <w:rsid w:val="00CD1F38"/>
    <w:rsid w:val="00CE78F3"/>
    <w:rsid w:val="00CF6B88"/>
    <w:rsid w:val="00D032F4"/>
    <w:rsid w:val="00D07305"/>
    <w:rsid w:val="00D07DC1"/>
    <w:rsid w:val="00D1032C"/>
    <w:rsid w:val="00D12D9E"/>
    <w:rsid w:val="00D24F83"/>
    <w:rsid w:val="00D549D5"/>
    <w:rsid w:val="00D62D94"/>
    <w:rsid w:val="00D71BF5"/>
    <w:rsid w:val="00D81D04"/>
    <w:rsid w:val="00D83B00"/>
    <w:rsid w:val="00D87B80"/>
    <w:rsid w:val="00D91849"/>
    <w:rsid w:val="00DA6676"/>
    <w:rsid w:val="00DB2C72"/>
    <w:rsid w:val="00DB7811"/>
    <w:rsid w:val="00DC358D"/>
    <w:rsid w:val="00DD7183"/>
    <w:rsid w:val="00DE5B49"/>
    <w:rsid w:val="00DF5DF1"/>
    <w:rsid w:val="00DF66A6"/>
    <w:rsid w:val="00E3040C"/>
    <w:rsid w:val="00E35FDE"/>
    <w:rsid w:val="00E41142"/>
    <w:rsid w:val="00E412E1"/>
    <w:rsid w:val="00E440D0"/>
    <w:rsid w:val="00E47B44"/>
    <w:rsid w:val="00E547E6"/>
    <w:rsid w:val="00E65F09"/>
    <w:rsid w:val="00E82073"/>
    <w:rsid w:val="00E85D65"/>
    <w:rsid w:val="00E951FB"/>
    <w:rsid w:val="00EC50B3"/>
    <w:rsid w:val="00EC654E"/>
    <w:rsid w:val="00ED742A"/>
    <w:rsid w:val="00EE6806"/>
    <w:rsid w:val="00EF2670"/>
    <w:rsid w:val="00EF5831"/>
    <w:rsid w:val="00EF6881"/>
    <w:rsid w:val="00F22447"/>
    <w:rsid w:val="00F23F94"/>
    <w:rsid w:val="00F26F36"/>
    <w:rsid w:val="00F27FCF"/>
    <w:rsid w:val="00F33C03"/>
    <w:rsid w:val="00F4306B"/>
    <w:rsid w:val="00F501D0"/>
    <w:rsid w:val="00F67D4F"/>
    <w:rsid w:val="00F717A6"/>
    <w:rsid w:val="00F71816"/>
    <w:rsid w:val="00F8252D"/>
    <w:rsid w:val="00F82758"/>
    <w:rsid w:val="00F97AC2"/>
    <w:rsid w:val="00FA7667"/>
    <w:rsid w:val="00FD0F87"/>
    <w:rsid w:val="00FF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7208C"/>
  <w15:chartTrackingRefBased/>
  <w15:docId w15:val="{8D23B36F-5895-4002-B631-F499E54C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347"/>
  </w:style>
  <w:style w:type="paragraph" w:styleId="Footer">
    <w:name w:val="footer"/>
    <w:basedOn w:val="Normal"/>
    <w:link w:val="FooterChar"/>
    <w:uiPriority w:val="99"/>
    <w:unhideWhenUsed/>
    <w:rsid w:val="00152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347"/>
  </w:style>
  <w:style w:type="paragraph" w:customStyle="1" w:styleId="APA">
    <w:name w:val="APA"/>
    <w:basedOn w:val="BodyText"/>
    <w:rsid w:val="00026381"/>
    <w:pPr>
      <w:overflowPunct w:val="0"/>
      <w:autoSpaceDE w:val="0"/>
      <w:autoSpaceDN w:val="0"/>
      <w:adjustRightInd w:val="0"/>
      <w:spacing w:after="0" w:line="48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26381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BodyText">
    <w:name w:val="Body Text"/>
    <w:basedOn w:val="Normal"/>
    <w:link w:val="BodyTextChar"/>
    <w:uiPriority w:val="99"/>
    <w:semiHidden/>
    <w:unhideWhenUsed/>
    <w:rsid w:val="000263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26381"/>
  </w:style>
  <w:style w:type="character" w:styleId="Hyperlink">
    <w:name w:val="Hyperlink"/>
    <w:basedOn w:val="DefaultParagraphFont"/>
    <w:uiPriority w:val="99"/>
    <w:unhideWhenUsed/>
    <w:rsid w:val="004F7A7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C2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A1B3F"/>
    <w:rPr>
      <w:color w:val="954F72" w:themeColor="followedHyperlink"/>
      <w:u w:val="single"/>
    </w:rPr>
  </w:style>
  <w:style w:type="table" w:styleId="GridTable1Light-Accent5">
    <w:name w:val="Grid Table 1 Light Accent 5"/>
    <w:basedOn w:val="TableNormal"/>
    <w:uiPriority w:val="46"/>
    <w:rsid w:val="00D62D9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tion">
    <w:name w:val="Mention"/>
    <w:basedOn w:val="DefaultParagraphFont"/>
    <w:uiPriority w:val="99"/>
    <w:semiHidden/>
    <w:unhideWhenUsed/>
    <w:rsid w:val="00572AEB"/>
    <w:rPr>
      <w:color w:val="2B579A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unhideWhenUsed/>
    <w:rsid w:val="00624DF8"/>
    <w:pPr>
      <w:spacing w:after="200" w:line="276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A66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">
  <b:Source>
    <b:Tag>Fra10</b:Tag>
    <b:SourceType>JournalArticle</b:SourceType>
    <b:Guid>{3D90A9D9-651B-437B-8B1E-3ACF5AA82AD4}</b:Guid>
    <b:Author>
      <b:Author>
        <b:NameList>
          <b:Person>
            <b:Last>Frame</b:Last>
            <b:First>M,</b:First>
          </b:Person>
          <b:Person>
            <b:Last>Roberto</b:Last>
            <b:First>K,</b:First>
          </b:Person>
          <b:Person>
            <b:Last>Schwab</b:Last>
            <b:First>A,</b:First>
          </b:Person>
          <b:Person>
            <b:Last>Harris</b:Last>
            <b:First>C.</b:First>
          </b:Person>
        </b:NameList>
      </b:Author>
    </b:Author>
    <b:Title>What is important on the job? Differences across gender, perspective, and job level.</b:Title>
    <b:Year>2010</b:Year>
    <b:JournalName>Journal of Applied Social Psychology</b:JournalName>
    <b:Pages>40, 36–56</b:Pages>
    <b:RefOrder>1</b:RefOrder>
  </b:Source>
  <b:Source>
    <b:Tag>Hit06</b:Tag>
    <b:SourceType>JournalArticle</b:SourceType>
    <b:Guid>{E8494E49-8362-4BA4-BF28-12E9AA00608F}</b:Guid>
    <b:Author>
      <b:Author>
        <b:NameList>
          <b:Person>
            <b:Last>Hitt</b:Last>
            <b:First>M.</b:First>
          </b:Person>
          <b:Person>
            <b:Last>Ireland</b:Last>
            <b:First>R.</b:First>
          </b:Person>
          <b:Person>
            <b:Last>Hoskisson</b:Last>
            <b:First>R.,</b:First>
          </b:Person>
        </b:NameList>
      </b:Author>
    </b:Author>
    <b:Title>Strategic Management:</b:Title>
    <b:Year>2006</b:Year>
    <b:JournalName> Competitive and Globalization 7 th ed.</b:JournalName>
    <b:Pages>17-19</b:Pages>
    <b:RefOrder>2</b:RefOrder>
  </b:Source>
  <b:Source>
    <b:Tag>Rob01</b:Tag>
    <b:SourceType>JournalArticle</b:SourceType>
    <b:Guid>{0DDE724B-D9B2-4E07-BF99-BB78894C4E9C}</b:Guid>
    <b:Author>
      <b:Author>
        <b:NameList>
          <b:Person>
            <b:Last>Robertson</b:Last>
            <b:First>I.</b:First>
          </b:Person>
        </b:NameList>
      </b:Author>
    </b:Author>
    <b:Title>Personnel selection. </b:Title>
    <b:JournalName>Journal Of Occupational &amp; Organizational Psychology, 74(4).</b:JournalName>
    <b:Year>2001</b:Year>
    <b:Pages>441</b:Pages>
    <b:RefOrder>3</b:RefOrder>
  </b:Source>
  <b:Source>
    <b:Tag>Bec02</b:Tag>
    <b:SourceType>Book</b:SourceType>
    <b:Guid>{D24DEDDE-A337-46F9-9DC1-42F4550B10FC}</b:Guid>
    <b:Author>
      <b:Author>
        <b:NameList>
          <b:Person>
            <b:Last>Bechet</b:Last>
            <b:First>T.</b:First>
          </b:Person>
        </b:NameList>
      </b:Author>
    </b:Author>
    <b:Title>Defining Staffing Requirements Where Plans Are Uncertain. In , Strategic Staffing CHAPTER 8</b:Title>
    <b:Year>2002</b:Year>
    <b:City>Chicago</b:City>
    <b:Publisher>American Management Association International.</b:Publisher>
    <b:Pages>103-115</b:Pages>
    <b:RefOrder>4</b:RefOrder>
  </b:Source>
  <b:Source>
    <b:Tag>Sou</b:Tag>
    <b:SourceType>InternetSite</b:SourceType>
    <b:Guid>{CEAD31A1-2D16-41AE-AE58-39BD74965E0B}</b:Guid>
    <b:Title>Southwest Airlines Operations – A Strategic Perspective</b:Title>
    <b:InternetSiteTitle>www.airline-industry.malq.net</b:InternetSiteTitle>
    <b:URL>http://airline-industry.malq.net/southwest-airlines-operations-a-strategic-perspective/</b:URL>
    <b:RefOrder>1</b:RefOrder>
  </b:Source>
  <b:Source>
    <b:Tag>Muk</b:Tag>
    <b:SourceType>InternetSite</b:SourceType>
    <b:Guid>{A556A0AD-498D-479D-A71C-DD87AB1AEB8E}</b:Guid>
    <b:Author>
      <b:Author>
        <b:NameList>
          <b:Person>
            <b:Last>Srinivasan</b:Last>
            <b:First>Mukund</b:First>
          </b:Person>
        </b:NameList>
      </b:Author>
    </b:Author>
    <b:Title>Southwest Airlines Operations - A Strategic Perspective</b:Title>
    <b:InternetSiteTitle>www.prism.gatech.edu</b:InternetSiteTitle>
    <b:URL>http://www.prism.gatech.edu/~bt71/mgt3501/southwest.pdf</b:URL>
    <b:RefOrder>2</b:RefOrder>
  </b:Source>
  <b:Source>
    <b:Tag>icm</b:Tag>
    <b:SourceType>InternetSite</b:SourceType>
    <b:Guid>{64821F3E-88B4-4919-B1A4-07826F5F99DB}</b:Guid>
    <b:Author>
      <b:Author>
        <b:Corporate>icmrindia.org</b:Corporate>
      </b:Author>
    </b:Author>
    <b:Title>Operations Management at Southwest Airlines</b:Title>
    <b:InternetSiteTitle>www.icmrindia.org</b:InternetSiteTitle>
    <b:URL>http://www.icmrindia.org/casestudies/catalogue/Operations/OPEA004.htm</b:URL>
    <b:RefOrder>3</b:RefOrder>
  </b:Source>
  <b:Source>
    <b:Tag>AAE12</b:Tag>
    <b:SourceType>JournalArticle</b:SourceType>
    <b:Guid>{01FE70A8-7BEC-4D15-A684-88C87E8A4A1F}</b:Guid>
    <b:Title>Economic dispatch in view of the Clean Air Act of 1990</b:Title>
    <b:Year>2012</b:Year>
    <b:Author>
      <b:Author>
        <b:NameList>
          <b:Person>
            <b:Last>El-Keib</b:Last>
            <b:First>A.A</b:First>
          </b:Person>
        </b:NameList>
      </b:Author>
    </b:Author>
    <b:JournalName>Power generation economics</b:JournalName>
    <b:Pages>972-978</b:Pages>
    <b:RefOrder>1</b:RefOrder>
  </b:Source>
  <b:Source>
    <b:Tag>Tos15</b:Tag>
    <b:SourceType>JournalArticle</b:SourceType>
    <b:Guid>{FEBDFD75-04DC-412F-A2E6-5A0337329F77}</b:Guid>
    <b:Author>
      <b:Author>
        <b:NameList>
          <b:Person>
            <b:Last>Sueyoshi</b:Last>
            <b:First>Toshiyuki</b:First>
          </b:Person>
        </b:NameList>
      </b:Author>
    </b:Author>
    <b:Title>Return to scale vs. damages to scale in data envelopment analysis: An impact of U.S. clean air act on coal-fired power plants</b:Title>
    <b:JournalName>Data envelopment analysis</b:JournalName>
    <b:Year>2015</b:Year>
    <b:Pages>144-175</b:Pages>
    <b:RefOrder>2</b:RefOrder>
  </b:Source>
  <b:Source>
    <b:Tag>Kar14</b:Tag>
    <b:SourceType>JournalArticle</b:SourceType>
    <b:Guid>{B1B12C6D-92F8-4F7A-B9F1-72B9BE88BDA7}</b:Guid>
    <b:Author>
      <b:Author>
        <b:NameList>
          <b:Person>
            <b:Last>Kramer</b:Last>
            <b:First>Karen</b:First>
          </b:Person>
          <b:Person>
            <b:Last>May</b:Last>
            <b:First>Michelle</b:First>
          </b:Person>
        </b:NameList>
      </b:Author>
    </b:Author>
    <b:Title>Enforcing the Clean water act in the twenty-first century: harnessing the power of the public spotlight</b:Title>
    <b:JournalName>The clean water act</b:JournalName>
    <b:Year>2014</b:Year>
    <b:Pages>158-166</b:Pages>
    <b:RefOrder>3</b:RefOrder>
  </b:Source>
  <b:Source>
    <b:Tag>Den14</b:Tag>
    <b:SourceType>Book</b:SourceType>
    <b:Guid>{9DEC0DC2-514A-4894-97A2-7062BC3A3B4F}</b:Guid>
    <b:Author>
      <b:Author>
        <b:NameList>
          <b:Person>
            <b:Last>Denhardt</b:Last>
          </b:Person>
          <b:Person>
            <b:Last>Denhardt</b:Last>
          </b:Person>
          <b:Person>
            <b:Last>Blanc</b:Last>
          </b:Person>
        </b:NameList>
      </b:Author>
    </b:Author>
    <b:Title>Public administration: An action orientation</b:Title>
    <b:Year>2014</b:Year>
    <b:City>Belmont, CA</b:City>
    <b:Publisher>Cengage Learning.</b:Publisher>
    <b:Edition>7th</b:Edition>
    <b:RefOrder>5</b:RefOrder>
  </b:Source>
  <b:Source>
    <b:Tag>Nel15</b:Tag>
    <b:SourceType>InternetSite</b:SourceType>
    <b:Guid>{507E8D17-B1EE-4472-9B62-C48704879F23}</b:Guid>
    <b:Author>
      <b:Author>
        <b:NameList>
          <b:Person>
            <b:Last>Nelson</b:Last>
          </b:Person>
        </b:NameList>
      </b:Author>
    </b:Author>
    <b:Title>Senate Passes Freedom Act, Ending Patriot Act Provision Lapse</b:Title>
    <b:Year>2015</b:Year>
    <b:InternetSiteTitle>US News &amp; World Report</b:InternetSiteTitle>
    <b:Month>June</b:Month>
    <b:Day>2</b:Day>
    <b:URL>https://www.usnews.com/news/articles/2015/06/02/senate-passes-freedom-act-ending-patriot-act-provision-lapse</b:URL>
    <b:RefOrder>4</b:RefOrder>
  </b:Source>
  <b:Source>
    <b:Tag>Coo14</b:Tag>
    <b:SourceType>JournalArticle</b:SourceType>
    <b:Guid>{DCBBBDD2-1BAB-4E55-9AF9-A802B1C39205}</b:Guid>
    <b:Author>
      <b:Author>
        <b:NameList>
          <b:Person>
            <b:Last>Cooke</b:Last>
          </b:Person>
        </b:NameList>
      </b:Author>
    </b:Author>
    <b:Title>Note: Securing Liberty: A Response to Debates on Section 215 of the Patriot Act</b:Title>
    <b:Year>2014</b:Year>
    <b:JournalName>Georgetown Journal of Law &amp; Public Policy </b:JournalName>
    <b:Pages>12, 889</b:Pages>
    <b:RefOrder>1</b:RefOrder>
  </b:Source>
  <b:Source>
    <b:Tag>Fis14</b:Tag>
    <b:SourceType>JournalArticle</b:SourceType>
    <b:Guid>{24D8C81E-EC31-4C2D-8391-863E724830E8}</b:Guid>
    <b:Author>
      <b:Author>
        <b:NameList>
          <b:Person>
            <b:Last>Fisher</b:Last>
          </b:Person>
        </b:NameList>
      </b:Author>
    </b:Author>
    <b:Title>Defending Congress and the Constitution</b:Title>
    <b:JournalName>Strategic Studies</b:JournalName>
    <b:Year>2014</b:Year>
    <b:Pages>8(3), 130-131</b:Pages>
    <b:RefOrder>3</b:RefOrder>
  </b:Source>
  <b:Source>
    <b:Tag>Ben16</b:Tag>
    <b:SourceType>JournalArticle</b:SourceType>
    <b:Guid>{15D26CB2-7F80-48E5-89B6-77FEBDE75A6C}</b:Guid>
    <b:Author>
      <b:Author>
        <b:NameList>
          <b:Person>
            <b:Last>Bendix</b:Last>
          </b:Person>
          <b:Person>
            <b:Last>Quirk</b:Last>
          </b:Person>
        </b:NameList>
      </b:Author>
    </b:Author>
    <b:Title>Deliberating Surveillance Policy: Congress, the FBI, and the Abuse of National Security Letters.</b:Title>
    <b:JournalName>Journal of Policy History</b:JournalName>
    <b:Year>2016</b:Year>
    <b:Pages>28(3), 447-469</b:Pages>
    <b:RefOrder>2</b:RefOrder>
  </b:Source>
</b:Sources>
</file>

<file path=customXml/itemProps1.xml><?xml version="1.0" encoding="utf-8"?>
<ds:datastoreItem xmlns:ds="http://schemas.openxmlformats.org/officeDocument/2006/customXml" ds:itemID="{66A73C20-66CC-4FD7-97DB-974EB4A6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Perry</dc:creator>
  <cp:keywords/>
  <dc:description/>
  <cp:lastModifiedBy>Jonathon Perry</cp:lastModifiedBy>
  <cp:revision>4</cp:revision>
  <dcterms:created xsi:type="dcterms:W3CDTF">2018-02-28T21:29:00Z</dcterms:created>
  <dcterms:modified xsi:type="dcterms:W3CDTF">2018-02-28T21:33:00Z</dcterms:modified>
</cp:coreProperties>
</file>