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Volume 12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Issue 1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March 2014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bookmarkStart w:id="0" w:name="_GoBack"/>
      <w:bookmarkEnd w:id="0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Performance Appraisal at Telespazio: Aligning Strategic Goals to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People Development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prepared by Professors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Silvia PROFILI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Alessia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SAMMARRA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Laura INNOCENTI</w:t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Gabriele GABRIELLI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“Dear colleague,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Telespazio Performance Appraisal is one of the primary tools for human resource development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management, and its correct use is one of your main responsibilities.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organization sets important challenges at the transnational level, leveraging on personnel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motivation. Optimal use of the appraisal system is extremely important when it comes to achieving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this. For these reasons, this year, I am looking forward to receiving your full commitment to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management of the process, which is divided into two phases: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Phase 1: evaluations related to the previous year must be finished by no later than April l5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  <w:r>
        <w:rPr>
          <w:rFonts w:ascii="Times New Roman" w:hAnsi="Times New Roman" w:cs="Times New Roman"/>
          <w:color w:val="000000"/>
        </w:rPr>
        <w:t>, 2011.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Phase 2: you are asked to define the 2011 objectives for your subordinates by no later than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April 30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  <w:r>
        <w:rPr>
          <w:rFonts w:ascii="Times New Roman" w:hAnsi="Times New Roman" w:cs="Times New Roman"/>
          <w:color w:val="000000"/>
        </w:rPr>
        <w:t>, 2011.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Regarding Phase 1, I have to stress the importance of the evaluation, which must be based on fair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realistic criteria, while also respecting deadlines.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look forward to receiving your full commitment to the appraisal process.”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was January 2011 when Telespazio’s CEO, Carlo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Gualdaroni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sent this letter to all of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company’s managers in order to strengthen their commitment to the appraisal program.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Gualdaroni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considered the Performance Management System to be crucial to the organizational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process undertaken by the company. As a matter of fact, the top management team had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The authors wish to thank the Telespazio HR team, guided by Giorgio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for its continuous support. Particular thanks go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Marta Di Santo, who is in charge of the Organizational Development, Management and Training Function, for her input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enthusiastic involvement. Without her support, this case study would not have been possible. Special thanks also go to Stefania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Tomassi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who heads the Development Function, for her valuable contributions to the writing of this case.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Silvia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Profili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an Associate Professor of Management at the European University of Rome, Italy.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Alessia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Sammarra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an Associate Professor of Organization Theory and HR Management at the University of L’Aquila, Italy.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Laura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Innocenti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an Adjunct Professor of Organizational Behavior and Human Resources Management at the LUISS Guido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Carli University, Italy.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Gabriele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Gabrielli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is an Adjunct Professor of Human Resources Management at the LUISS Guido Carli University, Italy.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© HEC Montréal 2014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All rights reserved for all countries. Any translation or alteration in any form whatsoever is prohibited.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 International Journal of Case Studies in Management is published on-line (</w:t>
      </w:r>
      <w:r>
        <w:rPr>
          <w:rFonts w:ascii="Times New Roman" w:hAnsi="Times New Roman" w:cs="Times New Roman"/>
          <w:i/>
          <w:iCs/>
          <w:color w:val="0000FF"/>
          <w:sz w:val="18"/>
          <w:szCs w:val="18"/>
        </w:rPr>
        <w:t>http://www.hec.ca/en/case_centre/ijcsm/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), ISSN 1911-2599.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This case is intended to be used as the framework for an educational discussion and does not imply any judgement on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administrative situation presented. Deposited under number 9 30 2013 010 with the HEC Montréal Case Centre, 3000,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chemin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la Côte-Sainte-Catherine, Montréal (Québec) Canada H3T 2A7.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been renewed and a new organizational matrix model had been introduced in the fall of 2010.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re-organization also involved the HR Function. With the change in top management, the</w:t>
      </w:r>
    </w:p>
    <w:p w:rsidR="008A1914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entire HR Management and Development System had been redesigned by the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Organizational </w:t>
      </w:r>
      <w:r>
        <w:rPr>
          <w:rFonts w:ascii="Times New Roman" w:hAnsi="Times New Roman" w:cs="Times New Roman"/>
          <w:color w:val="000000"/>
          <w:sz w:val="24"/>
          <w:szCs w:val="24"/>
        </w:rPr>
        <w:t>Development, Management and Training Function. Marta di Sant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was in charge of this, and 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been validated by the senior management team. The CEO, Carlo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Gualdaroni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stated: 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color w:val="000000"/>
          <w:sz w:val="24"/>
          <w:szCs w:val="24"/>
        </w:rPr>
        <w:t>very first time, all of the components of the HR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(Development, Organization, HR </w:t>
      </w:r>
      <w:r>
        <w:rPr>
          <w:rFonts w:ascii="Times New Roman" w:hAnsi="Times New Roman" w:cs="Times New Roman"/>
          <w:color w:val="000000"/>
          <w:sz w:val="24"/>
          <w:szCs w:val="24"/>
        </w:rPr>
        <w:t>Management and Training) fall under a single coordinating struc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ture in the HR Department; this </w:t>
      </w:r>
      <w:r>
        <w:rPr>
          <w:rFonts w:ascii="Times New Roman" w:hAnsi="Times New Roman" w:cs="Times New Roman"/>
          <w:color w:val="000000"/>
          <w:sz w:val="24"/>
          <w:szCs w:val="24"/>
        </w:rPr>
        <w:t>can only provide a new momentum to Telespazio, which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 be even more market-driven, </w:t>
      </w:r>
    </w:p>
    <w:p w:rsidR="00D82C4B" w:rsidRP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and based on a matrix model”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(Figure 1).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82C4B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943600" cy="4476669"/>
            <wp:effectExtent l="0" t="0" r="0" b="635"/>
            <wp:docPr id="1" name="Picture 1" descr="C:\Users\Isabel\OneDrive\Pictures\Screenshots\2016-06-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OneDrive\Pictures\Screenshots\2016-06-03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company had become increasingly present on foreign markets, which required a more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articulated structure to manage its global dimension. For this reason, Telespazio undertook 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reshaping of the group model, adopting a matrix approach in order to produce 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transnational organization that focused on both geographic markets and business lines.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new organizational model was characterized by: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Double reporting, both regional and business, with a strong controlling model.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Responsibilities allocated on a dual basis (central and local).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Simultaneous control of market and business strategies.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The opportunity to take advantage of synergies.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new model had several advantages, but also introduced a new challenge, especially related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HR management, because of the dual line of authority.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"/>
          <w:szCs w:val="7"/>
        </w:rPr>
      </w:pPr>
      <w:r>
        <w:rPr>
          <w:rFonts w:ascii="Calibri" w:hAnsi="Calibri" w:cs="Calibri"/>
          <w:color w:val="000000"/>
          <w:sz w:val="7"/>
          <w:szCs w:val="7"/>
        </w:rPr>
        <w:t>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organizational model was complicated by the fact that in the last decade, Telespazio had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focused on project teams in an attempt to deal with the constant and rapid innovation required by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business environment. For example, the company was involved in major international space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programs, including: Galileo, EGNOS, GMES, COSMO-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SkyMed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SICRAL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Göktürk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These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involved employees from different business units and departments, who would be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temporarily assigned to a project on a full-time basis.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appraisal system could play a strategic role for this organizational change. However, the HR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had to make important decisions about how to manage the ambiguity and potential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conflict inherent in the matrix model. Should the responsibility for employees’ evaluations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shared between two managers, with different views and competencies, or should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responsibility be allocated to a single supervisor (the Business Unit Manager or the Country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Manager)?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Director of Human Resources, was aware that the time had come to review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appraisal system, taking into account the complexity of this new organizational model.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Telespazio: From Its Origins to Its Development into a Leading Global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Company in the Space Industry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Telespazio, a space services company, headquartered in Rome (Italy), has roots dating back to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1961, when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Italcable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RAI founded the business under the auspices of the CNR (National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Council) and the Ministry of Posts and Telecommunications.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very beginning, the heart of the firm’s activities was tele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communications using artificial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satellites, and it quickly partnered with NASA. The creation of 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the company opened the horizons </w:t>
      </w:r>
      <w:r>
        <w:rPr>
          <w:rFonts w:ascii="Times New Roman" w:hAnsi="Times New Roman" w:cs="Times New Roman"/>
          <w:color w:val="000000"/>
          <w:sz w:val="24"/>
          <w:szCs w:val="24"/>
        </w:rPr>
        <w:t>of space to Italy, and enabled the country to take part in experiments with new forms of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telecommunication.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just a few years, Telespazio expanded by way of its successful technological developments,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achieving important goals that marked the history of telecommunications, such as the live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television broadcast of the moon landing on July 20, 1969, which was made possible by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parabolic antennas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Fucino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Space Centre inaugurated by Telespazio in 1967.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Fucino</w:t>
      </w:r>
      <w:proofErr w:type="spellEnd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 Centre was, at that time, one of only four such stations on the continent (the others being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Plemeur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France,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Goonhilly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UK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Raisting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West Germany) that were capable </w:t>
      </w:r>
      <w:r>
        <w:rPr>
          <w:rFonts w:ascii="Times New Roman" w:hAnsi="Times New Roman" w:cs="Times New Roman"/>
          <w:color w:val="000000"/>
          <w:sz w:val="24"/>
          <w:szCs w:val="24"/>
        </w:rPr>
        <w:t>of receiving TV signals via satellite from anywhere in the world.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 the course of 50 years, Telespazio quickly became a point of reference in the space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industry, expanding its operations from the design and development of space systems to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management of launch services and in-orbit satellite control, and from Earth observation services,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integrated communications, satellite navigation and localization to scientific programs.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company’s growth and diversification was accompanied by important changes in its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governance structure through subsequent mergers and acquisitions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. The most important transition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 in 2002, when Telespazio became part of the Finmecca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nica Group, the leading Italian </w:t>
      </w:r>
      <w:r>
        <w:rPr>
          <w:rFonts w:ascii="Times New Roman" w:hAnsi="Times New Roman" w:cs="Times New Roman"/>
          <w:color w:val="000000"/>
          <w:sz w:val="24"/>
          <w:szCs w:val="24"/>
        </w:rPr>
        <w:t>manufacturer of high technology, which was ranked among t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he top 10 global players in the </w:t>
      </w:r>
      <w:r>
        <w:rPr>
          <w:rFonts w:ascii="Times New Roman" w:hAnsi="Times New Roman" w:cs="Times New Roman"/>
          <w:color w:val="000000"/>
          <w:sz w:val="24"/>
          <w:szCs w:val="24"/>
        </w:rPr>
        <w:t>aerospace, defense and security industries.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2007, Telespazio, along with Thales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Space, was transformed into a joint venture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between Finmeccanica (67%) and the French company Thales (33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%) as a result of the new Space </w:t>
      </w:r>
      <w:r>
        <w:rPr>
          <w:rFonts w:ascii="Times New Roman" w:hAnsi="Times New Roman" w:cs="Times New Roman"/>
          <w:color w:val="000000"/>
          <w:sz w:val="24"/>
          <w:szCs w:val="24"/>
        </w:rPr>
        <w:t>Alliance signed by these two giants of the European aerospace industry.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14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2010, Telespazio was ranked among the leading global compan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ies in satellite management and </w:t>
      </w:r>
      <w:r>
        <w:rPr>
          <w:rFonts w:ascii="Times New Roman" w:hAnsi="Times New Roman" w:cs="Times New Roman"/>
          <w:color w:val="000000"/>
          <w:sz w:val="24"/>
          <w:szCs w:val="24"/>
        </w:rPr>
        <w:t>Earth observation, satellite navigation, integrated connectivity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 and added value services. </w:t>
      </w:r>
    </w:p>
    <w:p w:rsidR="00D82C4B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D82C4B">
        <w:rPr>
          <w:rFonts w:ascii="Times New Roman" w:hAnsi="Times New Roman" w:cs="Times New Roman"/>
          <w:color w:val="000000"/>
          <w:sz w:val="24"/>
          <w:szCs w:val="24"/>
        </w:rPr>
        <w:t>437 million Euros in annual revenues and approximately 2,500 people employed in 25 sites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worldwide, the company managed a network of four space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including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Fucino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Space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Centre, the world’s largest civilian teleport (Figure 2). In Europe, the company was now present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France, Germany, the United Kingdom, Spain, Hungary and Romania. Worldwide, Telespazio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operated in the U.S. via Telespazio North America and had consolidated its presence in South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America with Telespazio Brazil and Telespazio Argentina.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91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3971499"/>
            <wp:effectExtent l="0" t="0" r="0" b="0"/>
            <wp:docPr id="3" name="Picture 3" descr="C:\Users\Isabel\OneDrive\Pictures\Screenshots\2016-06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\OneDrive\Pictures\Screenshots\2016-06-03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Performance Appraisal at Telespazio (PAT)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performance appraisal system (PAT) was designed in 2005 to align employees’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 efforts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organizational and the Group’s challenging goals, both locally and 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in the international arena. The </w:t>
      </w:r>
      <w:r>
        <w:rPr>
          <w:rFonts w:ascii="Times New Roman" w:hAnsi="Times New Roman" w:cs="Times New Roman"/>
          <w:color w:val="000000"/>
          <w:sz w:val="24"/>
          <w:szCs w:val="24"/>
        </w:rPr>
        <w:t>system was conceived as a means to support decisions regardi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ng employee management, such as </w:t>
      </w:r>
      <w:r>
        <w:rPr>
          <w:rFonts w:ascii="Times New Roman" w:hAnsi="Times New Roman" w:cs="Times New Roman"/>
          <w:color w:val="000000"/>
          <w:sz w:val="24"/>
          <w:szCs w:val="24"/>
        </w:rPr>
        <w:t>rewards, compensation, career advancement, mobility, and train</w:t>
      </w:r>
      <w:r w:rsidR="008A1914">
        <w:rPr>
          <w:rFonts w:ascii="Times New Roman" w:hAnsi="Times New Roman" w:cs="Times New Roman"/>
          <w:color w:val="000000"/>
          <w:sz w:val="24"/>
          <w:szCs w:val="24"/>
        </w:rPr>
        <w:t xml:space="preserve">ing. Its aim was to promote the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values: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65F9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Transparency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65F9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Sharing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65F9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Joint definition of objectives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65F9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Reference to observable behaviors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65F9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Focus on roles and competencies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evaluation system covers all employees and managers, with the only exception being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executives, who are part of the Finmeccanica management review process.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last, but by no means least important advantage of this system is the fact that it is totally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paperless.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assessed?</w:t>
      </w:r>
    </w:p>
    <w:p w:rsidR="008A1914" w:rsidRDefault="008A1914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aim of the system is twofold: (1) to ensure that the company achieves positive results,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to promote the professional development of employees. Accordingly, it focuses on two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aspects of employee performance: goals/objectives and competencies/skills (Figure 3).</w:t>
      </w:r>
    </w:p>
    <w:p w:rsidR="00D82C4B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1914">
        <w:rPr>
          <w:rFonts w:ascii="Calibri" w:hAnsi="Calibri" w:cs="Calibri"/>
          <w:noProof/>
          <w:color w:val="FFFFFF"/>
          <w:sz w:val="24"/>
          <w:szCs w:val="24"/>
        </w:rPr>
        <w:lastRenderedPageBreak/>
        <w:drawing>
          <wp:inline distT="0" distB="0" distL="0" distR="0" wp14:anchorId="3B200FBB" wp14:editId="580843A3">
            <wp:extent cx="5942330" cy="3686175"/>
            <wp:effectExtent l="0" t="0" r="1270" b="9525"/>
            <wp:docPr id="4" name="Picture 4" descr="C:\Users\Isabel\OneDrive\Pictures\Screenshots\2016-06-03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\OneDrive\Pictures\Screenshots\2016-06-03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69" cy="36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Duties/objectives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Technical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professional skills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Organizational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Goals/objectives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identification of objectives is a crucial phase, as it is considered to be the basis on which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employee focusses his/her efforts throughout the year.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objective should: be related to an individual department’s budget plan, be coherent with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activities planned for an employee’s team, and cover an employee’s development needs. Along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business related objectives, attention should also be paid to the definition of goals that are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geared towards an employee’s professional development, such as the attainment of an advanced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proficiency in English, or the acquisition of the technical knowledge needed to operate a specific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Importantly, in order to ensure joint ownership of, and involvement in, this process, the system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allows middle managers, professionals and specialists to set their own objectives and enter them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directly into the system. Their supervisor can then modify them or add new ones with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approval of the employee.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Objectives should be set and assessed as far as possible on the basis of measurable factors, such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facts, deadlines and figures. For the system to be effective, it is important to not only achieve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results, but to reach them in the right way. An objective accomplished using inappropriate or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inconsistent conduct is considered to be more harmful to the organization than an unmet goal.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achievement of each objective is then evaluated through an appropriate rating scale with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levels: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middle managers, professionals and specialists,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Not achieved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Achieved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Exceeded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and, for employees and operators,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be improved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Standard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Outstanding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 and competencies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of the skills and competencies related to each organizational role have been identified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included in the Competency Management System, and each manager is asked to communicate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his/her staff about their role. This enables a thorough communication of the organization’s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expectations for each role in terms of skills and competencies.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Competency Management System includes both organizational and technical/professional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skills, which are derived from the business drivers. Organizational skills include behaviors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methods adopted by an employee to deal with specific situations and achieve set objectives.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 of organizational skills for middle managers, professionals and specialists include: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‘Value creation’ and ‘Market and Customer orientation’ (Figure 4).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Figure 4 – Organizational Skills for Middle Managers, Professionals and Specialists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8E6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91200" cy="5686425"/>
            <wp:effectExtent l="0" t="0" r="0" b="9525"/>
            <wp:docPr id="7" name="Picture 7" descr="C:\Users\Isabel\OneDrive\Pictures\Screenshots\2016-06-0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bel\OneDrive\Pictures\Screenshots\2016-06-03 (1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 of organizational skills for employees and operators include: ‘Flexibility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Interfunctionality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and ‘Customer Service orientation’ (Figure 5). Technical and professional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 refer to specific knowledge and competencies required for a particular role.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Moreover, each manager can add specific skills or professional experience to the role-specific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skills, selecting them to be included in the list of competencies in the Competency Management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 These additional skills are not assessed, but can provide useful information on an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employee’s experience.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system to be really effective, managers are asked to focus on performance and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behavior exhibited by an employee during the assessment period. They are also required to base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evaluation of competencies/skills on the observation of concrete facts, adopting a three-level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scale: to be improved, standard, outstanding.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</w:pPr>
      <w:r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t>Value creation: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</w:pPr>
      <w:r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lastRenderedPageBreak/>
        <w:t>Mark</w:t>
      </w:r>
      <w:r w:rsidR="007B18E6"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t xml:space="preserve">    </w:t>
      </w:r>
      <w:r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t>et and customer</w:t>
      </w:r>
      <w:r w:rsidR="007B18E6" w:rsidRPr="007B18E6">
        <w:rPr>
          <w:rFonts w:ascii="Calibri-Bold" w:eastAsia="Calibri-Bold" w:hAnsi="HelveticaNeueLTStd-Lt" w:cs="Calibri-Bold"/>
          <w:b/>
          <w:bCs/>
          <w:noProof/>
          <w:color w:val="FFFFFF"/>
          <w:sz w:val="17"/>
          <w:szCs w:val="17"/>
        </w:rPr>
        <w:drawing>
          <wp:inline distT="0" distB="0" distL="0" distR="0" wp14:anchorId="5F92494C" wp14:editId="0A12C84C">
            <wp:extent cx="3381375" cy="5391150"/>
            <wp:effectExtent l="0" t="0" r="9525" b="0"/>
            <wp:docPr id="8" name="Picture 8" descr="C:\Users\Isabel\OneDrive\Pictures\Screenshots\2016-06-03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\OneDrive\Pictures\Screenshots\2016-06-03 (1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t>international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</w:pPr>
      <w:r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  <w:t>development</w:t>
      </w:r>
    </w:p>
    <w:p w:rsidR="00D82C4B" w:rsidRPr="007B18E6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 steps for effective performance management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appraisal process must be completed by the first quarter of each new year, as employees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have enough time to plan the activities required to meet their objectives. To set the goals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half way through the year or, even worse, at the end, is considered to be ineffectual or, in many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cases, harmful.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interview as the core of the appraisal process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evaluation process has several steps, which are described in Figure 6. The interview is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part of the process. Indeed, it is so central to the process that it should be regarded as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appraisal. Accordingly, particular attention must be paid to preparing for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interview; both managers and employees need to carefully gather all of the information available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support their discussions with concrete evidence. During the meeting, the manager should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 on the results achieved and the gaps between the expected level of skills for the role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those exhibited by the employees. The manager must see the interview as an opportunity to both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fully explore areas of performance and skills that require improvement and define the appropriate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his/her part, the employee should make a list of his/her achievements and skills, and is also</w:t>
      </w:r>
    </w:p>
    <w:p w:rsidR="00D82C4B" w:rsidRPr="007B18E6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invited to suggest training activities that could be useful for </w:t>
      </w:r>
      <w:r w:rsidR="007B18E6">
        <w:rPr>
          <w:rFonts w:ascii="Times New Roman" w:hAnsi="Times New Roman" w:cs="Times New Roman"/>
          <w:color w:val="000000"/>
          <w:sz w:val="24"/>
          <w:szCs w:val="24"/>
        </w:rPr>
        <w:t xml:space="preserve">improving weaknesses. Employees </w:t>
      </w:r>
      <w:r>
        <w:rPr>
          <w:rFonts w:ascii="Times New Roman" w:hAnsi="Times New Roman" w:cs="Times New Roman"/>
          <w:color w:val="000000"/>
          <w:sz w:val="24"/>
          <w:szCs w:val="24"/>
        </w:rPr>
        <w:t>should not regard the meeting as an ‘exam’, but as a relevant and constructive opportunity to get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feedback on both strengths and areas that could be improved.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According to the HR development team, the PAT system should be used as a management tool,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is designed to motivate and develop employees, rather than simply ‘reward’ or ‘punish’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them. In this regard, negative feedback is also relevant, as it should encourage employees to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recognize their weaknesses, face their problems and take appropriate action to improve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skills.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18E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819775" cy="4362450"/>
            <wp:effectExtent l="0" t="0" r="9525" b="0"/>
            <wp:docPr id="9" name="Picture 9" descr="C:\Users\Isabel\OneDrive\Pictures\Screenshots\2016-06-03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abel\OneDrive\Pictures\Screenshots\2016-06-03 (1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paperless appraisal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appraisal process is completely electronic. In order to ensure standardized and comparable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analyses, all of the information about employee objectives and skills are gathered on specific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forms made available by SAP-HR (Figure 7), one for middle managers, professionals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specialists, and another for employees/operators.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forms also serve to collect all of the data related to training needs and improve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available with which to evaluate the company’s quality and return on investment in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training. The SAP system collects the information required to prepare specific training plans for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individual that are coherent with the company’s strategies. The effectiveness of an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employee’s training, in terms of the impact on work performance, during the year is evaluated by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manager and included.</w:t>
      </w:r>
    </w:p>
    <w:p w:rsidR="007B18E6" w:rsidRDefault="007B18E6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Employees are expected to take an active part in the performance evaluation, writing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 in the appropriate section, which includes several questions aimed at encouraging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them to explain their points of view on key aspects of the appraisal. Both managers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employees are asked to complete this section. If the sections are blank, the appraisal process is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considered incomplete and the system does not accept it.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adoption of the SAP tool enables the HR Function and all managers to have real-time access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specific and aggregate data that is valuable for managing and developing employees.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786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943600" cy="3858274"/>
            <wp:effectExtent l="0" t="0" r="0" b="8890"/>
            <wp:docPr id="10" name="Picture 10" descr="C:\Users\Isabel\OneDrive\Pictures\Screenshots\2016-06-03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abel\OneDrive\Pictures\Screenshots\2016-06-03 (1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Overall appraisal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evaluation of objectives and competencies flows into an overall assessment of employees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and uses a three-level scale: to be improved, standard and outstanding. The system itself, on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basis of all of the information obtained, suggests the most appropriate level. The supervisor can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modify this value if an employee’s professional track record suggests a different evaluation.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 is in charge of the appraisal?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performance appraisal at Telespazio is based on the views of one evaluator, the direct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supervisor. Evaluation is a primary responsibility of each manager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, which ensures the appropriate </w:t>
      </w:r>
      <w:r>
        <w:rPr>
          <w:rFonts w:ascii="Times New Roman" w:hAnsi="Times New Roman" w:cs="Times New Roman"/>
          <w:color w:val="000000"/>
          <w:sz w:val="24"/>
          <w:szCs w:val="24"/>
        </w:rPr>
        <w:t>visibility of results by the management level immediately above. An exception to thi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s rule occurs </w:t>
      </w:r>
      <w:r>
        <w:rPr>
          <w:rFonts w:ascii="Times New Roman" w:hAnsi="Times New Roman" w:cs="Times New Roman"/>
          <w:color w:val="000000"/>
          <w:sz w:val="24"/>
          <w:szCs w:val="24"/>
        </w:rPr>
        <w:t>when employees are assigned to project teams on a regular basis,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 with a mix of line and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responsibilities. In these cases, the performance appraisal i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s completed by both the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Manager and the Line Manager. More specifically, the definition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 of the objectives for each new </w:t>
      </w:r>
      <w:r>
        <w:rPr>
          <w:rFonts w:ascii="Times New Roman" w:hAnsi="Times New Roman" w:cs="Times New Roman"/>
          <w:color w:val="000000"/>
          <w:sz w:val="24"/>
          <w:szCs w:val="24"/>
        </w:rPr>
        <w:t>year is the Project Manager’s role, as he/she is responsible for the project’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s budget and timing. </w:t>
      </w:r>
      <w:r>
        <w:rPr>
          <w:rFonts w:ascii="Times New Roman" w:hAnsi="Times New Roman" w:cs="Times New Roman"/>
          <w:color w:val="000000"/>
          <w:sz w:val="24"/>
          <w:szCs w:val="24"/>
        </w:rPr>
        <w:t>While the Line Manager is responsible for the performance interv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iew, as this is the core of the </w:t>
      </w:r>
      <w:r>
        <w:rPr>
          <w:rFonts w:ascii="Times New Roman" w:hAnsi="Times New Roman" w:cs="Times New Roman"/>
          <w:color w:val="000000"/>
          <w:sz w:val="24"/>
          <w:szCs w:val="24"/>
        </w:rPr>
        <w:t>appraisal process. This approach has two objectives: (1) the attainment of the team’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s project goals </w:t>
      </w:r>
      <w:r>
        <w:rPr>
          <w:rFonts w:ascii="Times New Roman" w:hAnsi="Times New Roman" w:cs="Times New Roman"/>
          <w:color w:val="000000"/>
          <w:sz w:val="24"/>
          <w:szCs w:val="24"/>
        </w:rPr>
        <w:t>and (2) ensuring the employee’s long-term professional growth (Figure 8).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868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planning and coordination of the entire appraisal process is the responsibility of the HR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Department, which is also in charge of analyzing and preparing monitoring reports on the overall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 results</w:t>
      </w:r>
    </w:p>
    <w:p w:rsidR="00D07868" w:rsidRPr="00D07868" w:rsidRDefault="00D07868" w:rsidP="00D0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7868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0147FA5A" wp14:editId="415BFAFA">
            <wp:extent cx="5162550" cy="4114800"/>
            <wp:effectExtent l="0" t="0" r="0" b="0"/>
            <wp:docPr id="11" name="Picture 11" descr="C:\Users\Isabel\OneDrive\Pictures\Screenshots\2016-06-03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\OneDrive\Pictures\Screenshots\2016-06-03 (18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Supporting implementation of PAT through ongoing communication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Each year, several means of communication are used to ensure tha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t important information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values associated with the program go out to all employees. Indee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d, both the managers who are in </w:t>
      </w:r>
      <w:r>
        <w:rPr>
          <w:rFonts w:ascii="Times New Roman" w:hAnsi="Times New Roman" w:cs="Times New Roman"/>
          <w:color w:val="000000"/>
          <w:sz w:val="24"/>
          <w:szCs w:val="24"/>
        </w:rPr>
        <w:t>charge of evaluating their staff and the workers who will be appra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ised must be fully aware of the </w:t>
      </w:r>
      <w:r>
        <w:rPr>
          <w:rFonts w:ascii="Times New Roman" w:hAnsi="Times New Roman" w:cs="Times New Roman"/>
          <w:color w:val="000000"/>
          <w:sz w:val="24"/>
          <w:szCs w:val="24"/>
        </w:rPr>
        <w:t>rules of the game. As stated by the HR team: “transparency and equity are essential to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guaranteeing that the program is successfully implemented.”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start of each year, the CEO sends out a letter as a way of engaging all of the company’s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managers in the process. This letter is accompanied by the setti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ng-up of a Management Forum for </w:t>
      </w:r>
      <w:r>
        <w:rPr>
          <w:rFonts w:ascii="Times New Roman" w:hAnsi="Times New Roman" w:cs="Times New Roman"/>
          <w:color w:val="000000"/>
          <w:sz w:val="24"/>
          <w:szCs w:val="24"/>
        </w:rPr>
        <w:t>all of the managers involved in the appraisal process, and by a more detailed communication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Director of Human Resources, Giorgio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to all employees. Moreover, a section of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company’s intranet is dedicated to a PAT description and timeline. There also exists a PAT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brochure which explains the evaluation objectives and process.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Assessing the PAT system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April 14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2011, 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Ms. Di Santo met the HR staff to determine the program for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upcoming Management Forum, the annual workshop where the Human Resources</w:t>
      </w:r>
    </w:p>
    <w:p w:rsidR="00D82C4B" w:rsidRPr="00D07868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presents the overall results of the performance appraisal process to Telespazio’s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management. The Development Unit had prepared a detailed presentation for the meeting in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it planned to highlight both the positive aspects of the PAT program as well as critical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issues, with the aim of making recommendations with respect to potential changes.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Marta Di Santo said: “After six full years since PAT’s introduction, we have several reasons to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satisfied. We have gone from a context in which it was necessar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y to demonstrate the value of a </w:t>
      </w:r>
      <w:r>
        <w:rPr>
          <w:rFonts w:ascii="Times New Roman" w:hAnsi="Times New Roman" w:cs="Times New Roman"/>
          <w:color w:val="000000"/>
          <w:sz w:val="24"/>
          <w:szCs w:val="24"/>
        </w:rPr>
        <w:t>formal performance appraisal process, to an organizational environment that has finally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understood its importance. Today, most supervisors acknowledge that PAT is a useful tool that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allows them to manage structured feedback with their subordinates. Moreover, employees have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begun to appreciate PAT as a tool that ensures a transparent and consensual evaluation process.”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Stefania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Tomassi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added: “Initially we had to ‘chase down’ supervisors to get them to complete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PAT; now, employees themselves pressure their boss to complete the evaluation process. I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realized that we were finally able to bring about a real cultural change when the trade unions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came to ask for our intervention with respect to the supervisors who were not completing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appraisal process, as they thought that this wasn’t in line with the best practices set by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company.”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Marta Di Santo continued her presentation by illustrating the results of the competence gap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analysis for all of Telespazio’s organizational roles (Exhibit 1). As she noted, the PAT program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valuable data when it comes to assessing average competency levels and evaluating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appropriateness against role requirements. These data were crucial for planning targeted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programs.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these results were considered to be extremely positive, Ms. Di Santo did have some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concerns about the program: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timing of the performance appraisal process</w:t>
      </w:r>
      <w:r>
        <w:rPr>
          <w:rFonts w:ascii="Times New Roman" w:hAnsi="Times New Roman" w:cs="Times New Roman"/>
          <w:color w:val="000000"/>
          <w:sz w:val="24"/>
          <w:szCs w:val="24"/>
        </w:rPr>
        <w:t>. Although the PAT process was deemed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essential responsibility for managers, delays against the planned schedule were still 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problem; pressing budget deadlines took precedence over performance appraisal.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Equity and selectivity</w:t>
      </w:r>
      <w:r>
        <w:rPr>
          <w:rFonts w:ascii="Times New Roman" w:hAnsi="Times New Roman" w:cs="Times New Roman"/>
          <w:color w:val="000000"/>
          <w:sz w:val="24"/>
          <w:szCs w:val="24"/>
        </w:rPr>
        <w:t>. Although the company made significant investments in targeted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and coaching for assessors, the analysis of the data generated from the Human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 Management System showed that the rating distributions were often biased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towards positive performance and uneven between different business units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departments (Exhibit 2).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Some remarks were made regarding the system’s alleged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rigidity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7868" w:rsidRDefault="00D07868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7868" w:rsidRDefault="00D07868" w:rsidP="00D0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7868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153025" cy="3381375"/>
            <wp:effectExtent l="0" t="0" r="9525" b="9525"/>
            <wp:docPr id="12" name="Picture 12" descr="C:\Users\Isabel\OneDrive\Pictures\Screenshots\2016-06-03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sabel\OneDrive\Pictures\Screenshots\2016-06-03 (20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considered the equity and selectivity issue to be the most critical: “</w:t>
      </w:r>
      <w:r w:rsidR="00D07868">
        <w:rPr>
          <w:rFonts w:ascii="Times New Roman" w:hAnsi="Times New Roman" w:cs="Times New Roman"/>
          <w:color w:val="000000"/>
          <w:sz w:val="24"/>
          <w:szCs w:val="24"/>
        </w:rPr>
        <w:t xml:space="preserve">After several years </w:t>
      </w:r>
      <w:r>
        <w:rPr>
          <w:rFonts w:ascii="Times New Roman" w:hAnsi="Times New Roman" w:cs="Times New Roman"/>
          <w:color w:val="000000"/>
          <w:sz w:val="24"/>
          <w:szCs w:val="24"/>
        </w:rPr>
        <w:t>devoted to developing a culture of appraisal, I don’t see many steps forward in the ranking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distribution.” Marta Di Santo added: “Most ratings are inflated, others are not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differentiated…some managers award superior ratings to all of their staff!” 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continued: “These kinds of appraisal risk having a demotivating effect on those employees who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been correctly evaluated by their boss, and who come out below the average. Last year, we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in the same situation and decided that more effort was required in terms of communication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training. But this wasn’t enough! It’s time to make some changes. Our managers have to be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aware that differentiation among their employees is essential to the system’s effectiveness. We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to evaluate carefully every possible action that goes in this direction. The revision of PAT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also address the important organizational change we’re facing. The new organizational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 needs to be assimilated by our colleagues; they still need to feel confident with this new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 of working. We must attain a stronger integration of our operations across the world and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adjust to a multicultural context. The worldwide implementation of the performance appraisal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will be crucial to communicating the new organizational 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requirements and sustaining the </w:t>
      </w:r>
      <w:r>
        <w:rPr>
          <w:rFonts w:ascii="Times New Roman" w:hAnsi="Times New Roman" w:cs="Times New Roman"/>
          <w:color w:val="000000"/>
          <w:sz w:val="24"/>
          <w:szCs w:val="24"/>
        </w:rPr>
        <w:t>process of global integration.”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95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2237412"/>
            <wp:effectExtent l="0" t="0" r="0" b="0"/>
            <wp:docPr id="13" name="Picture 13" descr="C:\Users\Isabel\OneDrive\Pictures\Screenshots\2016-06-03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abel\OneDrive\Pictures\Screenshots\2016-06-03 (2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 B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T-PAD. The revised appraisal program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end of April 2011, the HR development team decided on how to improve the PAT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program. The major revisions included: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Revised rating categories: </w:t>
      </w:r>
      <w:r>
        <w:rPr>
          <w:rFonts w:ascii="Times New Roman" w:hAnsi="Times New Roman" w:cs="Times New Roman"/>
          <w:color w:val="000000"/>
          <w:sz w:val="24"/>
          <w:szCs w:val="24"/>
        </w:rPr>
        <w:t>the old numerical, three-level rating scale for the evaluation of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objectives and competencies was replaced by a new four-level rating scale that is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consistent with the one used for the overall evaluation. This expansion was made at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 of a number of different evaluators, who expressed the need to have a better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opportunity to differentiate between different performance levels. Figures 9 and 10 set out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new four-level rating scale introduced for both targets and competencies.</w:t>
      </w:r>
    </w:p>
    <w:p w:rsidR="0031295C" w:rsidRDefault="0031295C" w:rsidP="0031295C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color w:val="000000"/>
          <w:sz w:val="24"/>
          <w:szCs w:val="24"/>
        </w:rPr>
      </w:pPr>
      <w:r w:rsidRPr="0031295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334000" cy="2952750"/>
            <wp:effectExtent l="0" t="0" r="0" b="0"/>
            <wp:docPr id="14" name="Picture 14" descr="C:\Users\Isabel\OneDrive\Pictures\Screenshots\2016-06-03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abel\OneDrive\Pictures\Screenshots\2016-06-03 (24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B" w:rsidRDefault="00D82C4B" w:rsidP="0031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More selectivity in the appraisal process: </w:t>
      </w:r>
      <w:r>
        <w:rPr>
          <w:rFonts w:ascii="Times New Roman" w:hAnsi="Times New Roman" w:cs="Times New Roman"/>
          <w:color w:val="000000"/>
          <w:sz w:val="24"/>
          <w:szCs w:val="24"/>
        </w:rPr>
        <w:t>all company managers were advised that in every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department/function, the number of employees with an outstanding performance should not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exceed 15% of the overall number of people working in the unit.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Assessment of new competencies: </w:t>
      </w:r>
      <w:r>
        <w:rPr>
          <w:rFonts w:ascii="Times New Roman" w:hAnsi="Times New Roman" w:cs="Times New Roman"/>
          <w:color w:val="000000"/>
          <w:sz w:val="24"/>
          <w:szCs w:val="24"/>
        </w:rPr>
        <w:t>two competencies were added to support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implementation of the new model (i.e., international orientation and business orientation).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revisions were communicated to all managers and employees through an email sent by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CEO during the launch phase of the new appraisal process for 2012. Furthermore, a meeting with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supervisors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planned, with the objectives being to share the previous year’s evaluation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results and to explain how to handle the new program. The revised PAT, now named T-PAD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(Telespazio Performance Appraisal for Development), was illustrated in an article published on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intranet. A new brochure was also distributed to all employees.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50% of Telespazio’s employees work outside Italy, the goal set for the 2012-2014 period was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‘export’ the Roles and Competencies System and the updated T-PAD to all of the countries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the company’s subsidiaries operated. The HR team defined the schedule of the operational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for the introduction of the T-PAD program to the company’s sites abroad. The pilot country</w:t>
      </w:r>
    </w:p>
    <w:p w:rsidR="00D82C4B" w:rsidRPr="0031295C" w:rsidRDefault="00D82C4B" w:rsidP="00D82C4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HelveticaNeueLTStd-Lt" w:cs="Calibri-Bold"/>
          <w:b/>
          <w:bCs/>
          <w:color w:val="FFFFFF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would be Telespazio Argentina in 2012, with the objective being to extend the appraisal program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all of the other foreign subsidiaries by the end of 2014.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situation in 2012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September 24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2012, 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 the HR team to take stock of the situation and asked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Marta Di Santo to report on the goals achieved during the year. Ms. Di Santo started her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presentation by illustrating the partial results of the 2012 rating distribution among different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organizational units (Exhibit 3): “I think we’ve made some steps forward. The introduction of a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four-level scale together with the supervisors’ training and coaching activities have paid off. Four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evaluators used the outstanding level for less than 20% of their staff and no one rated his/her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entire staff as outstanding. The assessments now definitely have a more normal distribution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compared to those from 2011. The best cases are represented by units 7, 8 and 10, where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managers used the entire rating scale. But we are still some ways from having a really selective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evaluation approach.”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95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943600" cy="2366286"/>
            <wp:effectExtent l="0" t="0" r="0" b="0"/>
            <wp:docPr id="15" name="Picture 15" descr="C:\Users\Isabel\OneDrive\Pictures\Screenshots\2016-06-03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abel\OneDrive\Pictures\Screenshots\2016-06-03 (26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According to Ms. Di Santo, the T-PAD had other positive outcomes: “These figures are very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important, but we need to go beyond them. We’ve been able to bring about a real cultural shift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among our line managers. Most of them are now fully aware that the T-PAD is a powerful tool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which to manage their staff effectively and achieve their unit’s goals. All the decisions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regarding employee development (training and career advancement) and economic incentives are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taken exclusively on the basis of the evaluation results.” Stefania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Tomassi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added: “Last week I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Francesco Rossi, who has recently been appointed as Operations Manager of the Network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Division, and he told me: ‘It’s a good thing we have the T-PAD! Thanks to this system, I had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chance to conduct structured interviews with my new staff and to get to know each of them in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greater depth. Moreover, the SAP forms allowed me to easily reconstruct the personal history of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employee... until a few days ago, I didn’t even know them, but today I feel like I’ve been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working with them for the last 20 years!’ He was very enthusiastic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 about the appraisal system and </w:t>
      </w:r>
      <w:r>
        <w:rPr>
          <w:rFonts w:ascii="Times New Roman" w:hAnsi="Times New Roman" w:cs="Times New Roman"/>
          <w:color w:val="000000"/>
          <w:sz w:val="24"/>
          <w:szCs w:val="24"/>
        </w:rPr>
        <w:t>its potential.”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Ms. Di Santo took the floor again: “We all know that the most important task set by our team in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2012, in line with the company’s expectations, is the extension of the T-PAD to all of the foreign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subsidiaries by the end of 2014. The program’s worldwide extension will be crucial to sustaining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company’s global integration. We started this year by implementing the system in Telespazio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Argentina, the pilot country, and we didn’t have any problems; w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e worked well with the local HR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Department. The local HR Manager, Camila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Beliera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was conscious that the subsidiary really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needed a structured appraisal system and worked hard to bring all 10 of the local supervisors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onboard, making them aware of the appraisal system’s strategic role. Moreover, I know Camila,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she used to work for a big Italian company in Rome and we 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have the same people management </w:t>
      </w:r>
      <w:r>
        <w:rPr>
          <w:rFonts w:ascii="Times New Roman" w:hAnsi="Times New Roman" w:cs="Times New Roman"/>
          <w:color w:val="000000"/>
          <w:sz w:val="24"/>
          <w:szCs w:val="24"/>
        </w:rPr>
        <w:t>philosophy...working with her was easy.”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Stefania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Tomassi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added: “By the end of September 2013, we have to complete the</w:t>
      </w: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implementation process in Germany and France. These countries’ subsidiaries have very di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fferent </w:t>
      </w:r>
      <w:r>
        <w:rPr>
          <w:rFonts w:ascii="Times New Roman" w:hAnsi="Times New Roman" w:cs="Times New Roman"/>
          <w:color w:val="000000"/>
          <w:sz w:val="24"/>
          <w:szCs w:val="24"/>
        </w:rPr>
        <w:t>managerial systems and leadership styles... Telespazio France h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as nearly 400 employees, a very </w:t>
      </w:r>
      <w:r>
        <w:rPr>
          <w:rFonts w:ascii="Times New Roman" w:hAnsi="Times New Roman" w:cs="Times New Roman"/>
          <w:color w:val="000000"/>
          <w:sz w:val="24"/>
          <w:szCs w:val="24"/>
        </w:rPr>
        <w:t>strong national culture and a well-established local evaluation syst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em. This will make the transfer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our T-PAD not easy at all...I don’t think that French </w:t>
      </w:r>
      <w:r w:rsidR="0031295C">
        <w:rPr>
          <w:rFonts w:ascii="Times New Roman" w:hAnsi="Times New Roman" w:cs="Times New Roman"/>
          <w:color w:val="000000"/>
          <w:sz w:val="24"/>
          <w:szCs w:val="24"/>
        </w:rPr>
        <w:t xml:space="preserve">managers will simply accept our </w:t>
      </w:r>
      <w:r>
        <w:rPr>
          <w:rFonts w:ascii="Times New Roman" w:hAnsi="Times New Roman" w:cs="Times New Roman"/>
          <w:color w:val="000000"/>
          <w:sz w:val="24"/>
          <w:szCs w:val="24"/>
        </w:rPr>
        <w:t>program!”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HR team was aware that the international implementation needed to be carefully planned.</w:t>
      </w:r>
    </w:p>
    <w:p w:rsidR="0031295C" w:rsidRDefault="0031295C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82C4B" w:rsidRDefault="00D82C4B" w:rsidP="00D8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2014-03-06</w:t>
      </w:r>
    </w:p>
    <w:p w:rsidR="0031295C" w:rsidRDefault="0031295C" w:rsidP="00D82C4B">
      <w:pPr>
        <w:rPr>
          <w:rFonts w:ascii="Courier New" w:hAnsi="Courier New" w:cs="Courier New"/>
          <w:color w:val="000000"/>
          <w:sz w:val="18"/>
          <w:szCs w:val="18"/>
        </w:rPr>
      </w:pPr>
    </w:p>
    <w:p w:rsidR="001A025B" w:rsidRDefault="00D82C4B" w:rsidP="00D82C4B">
      <w:r>
        <w:rPr>
          <w:rFonts w:ascii="Courier New" w:hAnsi="Courier New" w:cs="Courier New"/>
          <w:color w:val="000000"/>
          <w:sz w:val="18"/>
          <w:szCs w:val="18"/>
        </w:rPr>
        <w:t xml:space="preserve">©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HEC Montréal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sectPr w:rsidR="001A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B"/>
    <w:rsid w:val="001A1D64"/>
    <w:rsid w:val="0031295C"/>
    <w:rsid w:val="007B18E6"/>
    <w:rsid w:val="008A1914"/>
    <w:rsid w:val="00A31007"/>
    <w:rsid w:val="00D07868"/>
    <w:rsid w:val="00D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EAC4"/>
  <w15:chartTrackingRefBased/>
  <w15:docId w15:val="{59E843C8-8884-44DD-B757-9020E72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Chea</dc:creator>
  <cp:keywords/>
  <dc:description/>
  <cp:lastModifiedBy>Isabel Chea</cp:lastModifiedBy>
  <cp:revision>1</cp:revision>
  <dcterms:created xsi:type="dcterms:W3CDTF">2016-06-03T22:51:00Z</dcterms:created>
  <dcterms:modified xsi:type="dcterms:W3CDTF">2016-06-03T23:58:00Z</dcterms:modified>
</cp:coreProperties>
</file>