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8F2025"/>
          <w:sz w:val="28"/>
          <w:szCs w:val="28"/>
        </w:rPr>
      </w:pPr>
      <w:bookmarkStart w:id="0" w:name="_GoBack"/>
      <w:bookmarkEnd w:id="0"/>
      <w:r>
        <w:rPr>
          <w:rFonts w:ascii="NewsGothicMTStd" w:hAnsi="NewsGothicMTStd" w:cs="NewsGothicMTStd"/>
          <w:color w:val="8F2025"/>
          <w:sz w:val="28"/>
          <w:szCs w:val="28"/>
        </w:rPr>
        <w:t>FREE ENTERPRISE FUND v. PUBLIC COMPANY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8F2025"/>
          <w:sz w:val="28"/>
          <w:szCs w:val="28"/>
        </w:rPr>
      </w:pPr>
      <w:r>
        <w:rPr>
          <w:rFonts w:ascii="NewsGothicMTStd" w:hAnsi="NewsGothicMTStd" w:cs="NewsGothicMTStd"/>
          <w:color w:val="8F2025"/>
          <w:sz w:val="28"/>
          <w:szCs w:val="28"/>
        </w:rPr>
        <w:t>ACCOUNTING OVERSIGHT BOARD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00748F"/>
          <w:sz w:val="24"/>
          <w:szCs w:val="24"/>
        </w:rPr>
      </w:pPr>
      <w:r>
        <w:rPr>
          <w:rFonts w:ascii="NewsGothicMTStd" w:hAnsi="NewsGothicMTStd" w:cs="NewsGothicMTStd"/>
          <w:color w:val="00748F"/>
          <w:sz w:val="24"/>
          <w:szCs w:val="24"/>
        </w:rPr>
        <w:t>130 S. Ct. 3138 (2010)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As a part of the Sarbanes-Oxley Act, Congress created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the Public Company Accounting Oversight Board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(PCAOB or Board). This Board consists of five members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who are appointed by the Securities and Exchange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Commissioners. Board members serve 5-year, staggered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terms and are not considered Government officers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or employers. This allows the recruitment from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the private sector since the Board members’ salaries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are not subject to governmental limitations. These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members can be removed by the SEC Commissioners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only “for good cause” if the Board member: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“(A) has willfully violated any provision of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Act, the rules of the Board, or the securities laws; (B)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has willfully abused the authority of that member; or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(C) without reasonable justification or excuse, has failed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to enforce compliance with any such provision or rule,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or any professional standard by any registered public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accounting firm or any associated person thereof.”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This arrangement concerning the appointment and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potential removal of Board members makes the PCAOB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a Government-created, Government-appointed entity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with expansive powers to govern an entire industry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(public accounting firms). It further makes the Board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members insulated from the direct supervision of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SEC Commissioners.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Following the Board’s release of a negative report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about </w:t>
      </w:r>
      <w:proofErr w:type="spellStart"/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Beckstead</w:t>
      </w:r>
      <w:proofErr w:type="spellEnd"/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 and Watts, LLP, a public accounting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firm, this lawsuit was filed by that firm and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Free Enterprise Fund challenging the constitutionality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of the Sarbanes-Oxley Act at least as far as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yntaxLTStd-Bold" w:hAnsi="SyntaxLTStd-Bold" w:cs="SyntaxLTStd-Bold"/>
          <w:b/>
          <w:bCs/>
          <w:color w:val="000000"/>
          <w:sz w:val="18"/>
          <w:szCs w:val="18"/>
        </w:rPr>
      </w:pPr>
      <w:r>
        <w:rPr>
          <w:rFonts w:ascii="SyntaxLTStd-Bold" w:hAnsi="SyntaxLTStd-Bold" w:cs="SyntaxLTStd-Bold"/>
          <w:b/>
          <w:bCs/>
          <w:color w:val="000000"/>
          <w:sz w:val="18"/>
          <w:szCs w:val="18"/>
        </w:rPr>
        <w:t>479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000000"/>
          <w:sz w:val="20"/>
          <w:szCs w:val="20"/>
        </w:rPr>
      </w:pPr>
      <w:r>
        <w:rPr>
          <w:rFonts w:ascii="NewsGothicMTStd" w:hAnsi="NewsGothicMTStd" w:cs="NewsGothicMTStd"/>
          <w:color w:val="000000"/>
          <w:sz w:val="20"/>
          <w:szCs w:val="20"/>
        </w:rPr>
        <w:t>[continued]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creation and operation of the PCAOB. The basis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this challenge is the Board members are not subject to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the appointed powers of the President of the United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States. The United States Government joined the suit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to defend the Sarbanes-Oxley Act and the PCAOB.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The District Judge granted summary judgment in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favor of the United States, and the D.C. Circuit Court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of Appeals affirmed. Certiorari was granted to review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the constitutional issue.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Bold" w:hAnsi="SabonLTStd-Bold" w:cs="SabonLTStd-Bold"/>
          <w:b/>
          <w:bCs/>
          <w:color w:val="000000"/>
          <w:sz w:val="19"/>
          <w:szCs w:val="19"/>
        </w:rPr>
        <w:t xml:space="preserve">ROBERTS, C.J.: </w:t>
      </w:r>
      <w:r>
        <w:rPr>
          <w:rFonts w:ascii="SabonLTStd-Roman" w:hAnsi="SabonLTStd-Roman" w:cs="SabonLTStd-Roman"/>
          <w:color w:val="000000"/>
          <w:sz w:val="19"/>
          <w:szCs w:val="19"/>
        </w:rPr>
        <w:t>. . . We hold that the dual for-cause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limitations on the removal of Board members contravene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Constitution’s separation of powers.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Constitution provides that “[t]he executive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Power shall be vested in a President of the United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States of America.” Art. II, </w:t>
      </w:r>
      <w:r>
        <w:rPr>
          <w:rFonts w:ascii="TimesLTStd-Roman" w:hAnsi="TimesLTStd-Roman" w:cs="TimesLTStd-Roman"/>
          <w:color w:val="000000"/>
          <w:sz w:val="19"/>
          <w:szCs w:val="19"/>
        </w:rPr>
        <w:t>§</w:t>
      </w:r>
      <w:r>
        <w:rPr>
          <w:rFonts w:ascii="SabonLTStd-Roman" w:hAnsi="SabonLTStd-Roman" w:cs="SabonLTStd-Roman"/>
          <w:color w:val="000000"/>
          <w:sz w:val="19"/>
          <w:szCs w:val="19"/>
        </w:rPr>
        <w:t>1, cl. 1. As Madison stated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on the floor of the First Congress, “if any power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whatsoever is in its nature Executive, it is the power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appointing, overseeing, and controlling those who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execute the laws.”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removal of executive officers was discussed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extensively in Congress when the first executive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departments were created. The view that “prevailed, as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most consonant to the text of the Constitution” and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lastRenderedPageBreak/>
        <w:t>“to the requisite responsibility and harmony in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Executive Department,” was that the executive power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included a power to oversee executive officers through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removal; because that traditional executive power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was not “expressly taken away, it remained with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President.” . . 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The landmark case of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Myers </w:t>
      </w:r>
      <w:r>
        <w:rPr>
          <w:rFonts w:ascii="SabonLTStd-Roman" w:hAnsi="SabonLTStd-Roman" w:cs="SabonLTStd-Roman"/>
          <w:color w:val="000000"/>
          <w:sz w:val="19"/>
          <w:szCs w:val="19"/>
        </w:rPr>
        <w:t xml:space="preserve">v.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United States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reaffirmed the principle that Article II confers on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 “the general administrative control of those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executing the laws.” It is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his </w:t>
      </w:r>
      <w:r>
        <w:rPr>
          <w:rFonts w:ascii="SabonLTStd-Roman" w:hAnsi="SabonLTStd-Roman" w:cs="SabonLTStd-Roman"/>
          <w:color w:val="000000"/>
          <w:sz w:val="19"/>
          <w:szCs w:val="19"/>
        </w:rPr>
        <w:t>responsibility to take care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that the laws be faithfully executed. The buck stops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with the President, in Harry Truman’s famous phrase.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As we explained in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Myers, </w:t>
      </w:r>
      <w:r>
        <w:rPr>
          <w:rFonts w:ascii="SabonLTStd-Roman" w:hAnsi="SabonLTStd-Roman" w:cs="SabonLTStd-Roman"/>
          <w:color w:val="000000"/>
          <w:sz w:val="19"/>
          <w:szCs w:val="19"/>
        </w:rPr>
        <w:t>the President therefore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must have some “power of removing those for whom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he cannot continue to be responsible.”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Italic" w:hAnsi="SabonLTStd-Italic" w:cs="SabonLTStd-Italic"/>
          <w:i/>
          <w:iCs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Nearly a decade later in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>Humphrey’s Executor,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this Court held that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Myers </w:t>
      </w:r>
      <w:r>
        <w:rPr>
          <w:rFonts w:ascii="SabonLTStd-Roman" w:hAnsi="SabonLTStd-Roman" w:cs="SabonLTStd-Roman"/>
          <w:color w:val="000000"/>
          <w:sz w:val="19"/>
          <w:szCs w:val="19"/>
        </w:rPr>
        <w:t>did not prevent Congress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from conferring good-cause tenure on the principal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officers of certain independent agencies. That case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concerned the members of the Federal Trade Commission,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who held 7-year terms and could not be removed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by the President except for “inefficiency, neglect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duty, or malfeasance in office.” The Court distinguished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Myers </w:t>
      </w:r>
      <w:r>
        <w:rPr>
          <w:rFonts w:ascii="SabonLTStd-Roman" w:hAnsi="SabonLTStd-Roman" w:cs="SabonLTStd-Roman"/>
          <w:color w:val="000000"/>
          <w:sz w:val="19"/>
          <w:szCs w:val="19"/>
        </w:rPr>
        <w:t xml:space="preserve">on the ground that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Myers </w:t>
      </w:r>
      <w:r>
        <w:rPr>
          <w:rFonts w:ascii="SabonLTStd-Roman" w:hAnsi="SabonLTStd-Roman" w:cs="SabonLTStd-Roman"/>
          <w:color w:val="000000"/>
          <w:sz w:val="19"/>
          <w:szCs w:val="19"/>
        </w:rPr>
        <w:t>concerned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“an officer [who] is merely one of the units in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executive department and, hence, inherently subject to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exclusive and illimitable power of removal by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Chief Executive, whose subordinate and aid he is.” By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contrast, the Court characterized the FTC as “</w:t>
      </w:r>
      <w:proofErr w:type="spellStart"/>
      <w:r>
        <w:rPr>
          <w:rFonts w:ascii="SabonLTStd-Roman" w:hAnsi="SabonLTStd-Roman" w:cs="SabonLTStd-Roman"/>
          <w:color w:val="000000"/>
          <w:sz w:val="19"/>
          <w:szCs w:val="19"/>
        </w:rPr>
        <w:t>quasilegislative</w:t>
      </w:r>
      <w:proofErr w:type="spellEnd"/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and quasi-judicial” rather than “purely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executive,” and held that Congress could require it “to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act . . . independently of executive control.” Because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“one who holds his office only during the pleasure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another, cannot be depended upon to maintain an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attitude of independence against the latter’s will,”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Court held that Congress had power to “fix the period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during which [the Commissioners] shall continue in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office, and to forbid their removal except for cause in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meantime.”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Humphrey’s Executor </w:t>
      </w:r>
      <w:r>
        <w:rPr>
          <w:rFonts w:ascii="SabonLTStd-Roman" w:hAnsi="SabonLTStd-Roman" w:cs="SabonLTStd-Roman"/>
          <w:color w:val="000000"/>
          <w:sz w:val="19"/>
          <w:szCs w:val="19"/>
        </w:rPr>
        <w:t>did not address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removal of inferior officers, whose appointment Congress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may vest in heads of departments. If Congress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does so, it is ordinarily the department head, rather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than the President, who enjoys the power of removal.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This Court has upheld for-cause limitations on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power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as well. . . 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We have previously upheld limited restrictions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on the President’s removal power. In those cases,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however, only one level of protected tenure separated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President from an officer exercising executive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power. It was the President—or a subordinate 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could remove at will—who decided whether the officer’s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conduct merited removal under the good-cause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standard. The Act before us does something quite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different. It not only protects Board members from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removal except for good cause, but withdraws from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President any decision on whether that good 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exists. That decision is vested instead in other tenured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officers—the Commissioners—none of whom is subject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lastRenderedPageBreak/>
        <w:t>to the President’s direct control. The result is a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 that is not accountable to the President, and a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 who is not responsible for the Board.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added layer of tenure protection makes a difference.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Without a layer of insulation between the Commission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and the Board, the Commission could remove a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 member at any time, and therefore would be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fully responsible for what the Board does. The President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could then hold the Commission to account for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its supervision of the Board, to the same extent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he may hold the Commission to account for everything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else it does. A second level of tenure protection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changes the nature of the President’s review. Now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Commission cannot remove a Board member at will.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President therefore cannot hold the Commission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fully accountable for the Board’s conduct, to the same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extent that he may hold the Commission accountable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for everything else that it does. The Commissioners are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not responsible for the Board’s actions. They are only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responsible for their own determination of whether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Act’s rigorous good-cause standard is met. And even if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President disagrees with their determination, he 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powerless to intervene—unless that determination 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so unreasonable as to constitute inefficiency, neglect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duty, or malfeasance in office.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yntaxLTStd-Bold" w:hAnsi="SyntaxLTStd-Bold" w:cs="SyntaxLTStd-Bold"/>
          <w:b/>
          <w:bCs/>
          <w:color w:val="000000"/>
          <w:sz w:val="18"/>
          <w:szCs w:val="18"/>
        </w:rPr>
      </w:pPr>
      <w:r>
        <w:rPr>
          <w:rFonts w:ascii="SyntaxLTStd-Bold" w:hAnsi="SyntaxLTStd-Bold" w:cs="SyntaxLTStd-Bold"/>
          <w:b/>
          <w:bCs/>
          <w:color w:val="000000"/>
          <w:sz w:val="18"/>
          <w:szCs w:val="18"/>
        </w:rPr>
        <w:t>480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This novel structure does not merely add to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Board’s independence, but transforms it. Neither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President, nor anyone directly responsible to him, nor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even an officer whose conduct he may review only for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good cause, has full control over the Board. The President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is stripped of the power our precedents have preserved,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and his ability to execute the laws—by holding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his subordinates accountable for their conduct—is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impaired.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That arrangement is contrary to Article II’s vesting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the executive power in the President. Without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ability to oversee the Board, or to attribute the Board’s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failings to those whom he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can </w:t>
      </w:r>
      <w:r>
        <w:rPr>
          <w:rFonts w:ascii="SabonLTStd-Roman" w:hAnsi="SabonLTStd-Roman" w:cs="SabonLTStd-Roman"/>
          <w:color w:val="000000"/>
          <w:sz w:val="19"/>
          <w:szCs w:val="19"/>
        </w:rPr>
        <w:t>oversee, the President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is no longer the judge of the Board’s conduct. He 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not the one who decides whether Board members are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abusing their offices or neglecting their duties. He can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neither ensure that the laws are faithfully executed,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nor be held responsible for a Board member’s breach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faith. This violates the basic principle that the President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cannot delegate ultimate responsibility 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active obligation to supervise that goes with it, because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Article II makes a single President responsible for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actions of the Executive Branch.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Indeed, if allowed to stand, this dispersion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responsibility could be multiplied. If Congress can shelter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bureaucracy behind two layers of good-cause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tenure, why not a third? At oral argument, the Government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was unwilling to concede that even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five </w:t>
      </w:r>
      <w:r>
        <w:rPr>
          <w:rFonts w:ascii="SabonLTStd-Roman" w:hAnsi="SabonLTStd-Roman" w:cs="SabonLTStd-Roman"/>
          <w:color w:val="000000"/>
          <w:sz w:val="19"/>
          <w:szCs w:val="19"/>
        </w:rPr>
        <w:t>layers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between the President and the Board would be too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many. The officers of such an agency—safely encased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within a </w:t>
      </w:r>
      <w:proofErr w:type="spellStart"/>
      <w:r>
        <w:rPr>
          <w:rFonts w:ascii="SabonLTStd-Roman" w:hAnsi="SabonLTStd-Roman" w:cs="SabonLTStd-Roman"/>
          <w:color w:val="000000"/>
          <w:sz w:val="19"/>
          <w:szCs w:val="19"/>
        </w:rPr>
        <w:t>Matryoshka</w:t>
      </w:r>
      <w:proofErr w:type="spell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doll of tenure protections—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would be immune from Presidential oversight, even as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they exercised power in the people’s name.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lastRenderedPageBreak/>
        <w:t>Perhaps an individual President might find advantages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in tying his own hands. But the separation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powers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does not depend on the views of individual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Presidents, nor on whether the encroached-upon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branch approves the encroachment. The President can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always choose to restrain himself in his dealings with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subordinates. He cannot, however, choose to bind his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successors by diminishing their powers, nor can 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escape responsibility for his choices by pretending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they are not his own.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diffusion of power carries with it a diffusion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accountability. The people do not vote for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Officers of the United States. They instead look to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President to guide the assistants or deputies . . . subject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to his superintendence. Without a clear and effective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chain of command, the public cannot determine 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whom the blame or the punishment of a pernicious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measure, or series of pernicious measures ought really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to fall. That is why the Framers sought to ensure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those who are employed in the execution of the law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will be in their proper situation, and the chain of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dependence be preserved; the lowest officers, the middle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grade, and the highest, will depend, as they ought,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on the President, and the President on the community.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By granting the Board executive power without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Executive’s oversight, this Act subverts the President’s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ability to ensure that the laws are faithfully executed—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as well as the public’s ability to pass judgment on his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efforts. The Act’s restrictions are incompatible with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Constitution’s separation of powers. . . 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This case presents an even more serious threat to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executive control than an “ordinary” dual for-cause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standard. Congress enacted an unusually high standard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that must be met before Board members may be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removed. A Board member cannot be removed except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for willful violations of the Act, Board rules, 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securities laws; willful abuse of authority; or unreasonable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failure to enforce compliance—as determined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in a formal Commission order, rendered on the record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and after notice and an opportunity for a hearing.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Act does not even give the Commission power to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fire Board members for violations of </w:t>
      </w:r>
      <w:r>
        <w:rPr>
          <w:rFonts w:ascii="SabonLTStd-Italic" w:hAnsi="SabonLTStd-Italic" w:cs="SabonLTStd-Italic"/>
          <w:i/>
          <w:iCs/>
          <w:color w:val="000000"/>
          <w:sz w:val="19"/>
          <w:szCs w:val="19"/>
        </w:rPr>
        <w:t xml:space="preserve">other </w:t>
      </w:r>
      <w:r>
        <w:rPr>
          <w:rFonts w:ascii="SabonLTStd-Roman" w:hAnsi="SabonLTStd-Roman" w:cs="SabonLTStd-Roman"/>
          <w:color w:val="000000"/>
          <w:sz w:val="19"/>
          <w:szCs w:val="19"/>
        </w:rPr>
        <w:t>laws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do not relate to the Act, the securities laws, 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Board’s authority. The President might have less than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full confidence in, say, a Board member who cheats on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his taxes; but that discovery is not listed among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grounds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for removal. . . 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rigorous standard that must be met before a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 member may be removed was drawn from statutes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concerning private organizations like the New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York Stock Exchange. While we need not decide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question here, a removal standard appropriate for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limiting Government control over private bodies may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be inappropriate for officers wielding the executive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power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of the United States. . . 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Petitioners’ complaint argued that the Board’s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“freedom from Presidential oversight and control”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rendered it “and all power and authority exercised by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it” in violation of Constitution. We reject such a broad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lastRenderedPageBreak/>
        <w:t>holding. Instead, we agree with the Government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unconstitutional tenure provisions are severable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from the remainder of the statute.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Generally speaking, when confronting a constitutional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flaw in a statute, we try to limit the solution to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problem, severing any problematic portions while leaving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the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remainder intact. . . . Concluding that the removal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restrictions are invalid leaves the Board removable by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Commission at will, and leaves the President separated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from Board members by only a single level of good-cause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tenure. The Commission is then fully responsible for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Board’s actions, which are no less subject than the Commission’s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own functions to Presidential oversight.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The Sarbanes-Oxley Act remains fully operative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as a law with these tenure restrictions excised.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We therefore must sustain its remaining provisions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000000"/>
          <w:sz w:val="20"/>
          <w:szCs w:val="20"/>
        </w:rPr>
      </w:pPr>
      <w:r>
        <w:rPr>
          <w:rFonts w:ascii="NewsGothicMTStd" w:hAnsi="NewsGothicMTStd" w:cs="NewsGothicMTStd"/>
          <w:color w:val="000000"/>
          <w:sz w:val="20"/>
          <w:szCs w:val="20"/>
        </w:rPr>
        <w:t>[continued]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yntaxLTStd-Bold" w:hAnsi="SyntaxLTStd-Bold" w:cs="SyntaxLTStd-Bold"/>
          <w:b/>
          <w:bCs/>
          <w:color w:val="000000"/>
          <w:sz w:val="18"/>
          <w:szCs w:val="18"/>
        </w:rPr>
      </w:pPr>
      <w:r>
        <w:rPr>
          <w:rFonts w:ascii="SyntaxLTStd-Bold" w:hAnsi="SyntaxLTStd-Bold" w:cs="SyntaxLTStd-Bold"/>
          <w:b/>
          <w:bCs/>
          <w:color w:val="000000"/>
          <w:sz w:val="18"/>
          <w:szCs w:val="18"/>
        </w:rPr>
        <w:t>481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NewsGothicMTStd" w:hAnsi="NewsGothicMTStd" w:cs="NewsGothicMTStd"/>
          <w:color w:val="000000"/>
          <w:sz w:val="20"/>
          <w:szCs w:val="20"/>
        </w:rPr>
      </w:pPr>
      <w:r>
        <w:rPr>
          <w:rFonts w:ascii="NewsGothicMTStd" w:hAnsi="NewsGothicMTStd" w:cs="NewsGothicMTStd"/>
          <w:color w:val="000000"/>
          <w:sz w:val="20"/>
          <w:szCs w:val="20"/>
        </w:rPr>
        <w:t>[continued]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“[u]</w:t>
      </w:r>
      <w:proofErr w:type="spellStart"/>
      <w:r>
        <w:rPr>
          <w:rFonts w:ascii="SabonLTStd-Roman" w:hAnsi="SabonLTStd-Roman" w:cs="SabonLTStd-Roman"/>
          <w:color w:val="000000"/>
          <w:sz w:val="19"/>
          <w:szCs w:val="19"/>
        </w:rPr>
        <w:t>nless</w:t>
      </w:r>
      <w:proofErr w:type="spell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it is evident that the Legislature would not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have enacted those provisions . . . independently of that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which is [invalid].” Though this inquiry can sometimes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be elusive, the answer here seems clear: The remaining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provisions are not incapable of functioning independently,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and nothing in the statute’s text or historical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context makes it evident that Congress, faced with the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limitations imposed by the Constitution, would have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preferred no Board at all to a Board whose members are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removable at will.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It is true that the language providing for </w:t>
      </w:r>
      <w:proofErr w:type="spellStart"/>
      <w:r>
        <w:rPr>
          <w:rFonts w:ascii="SabonLTStd-Roman" w:hAnsi="SabonLTStd-Roman" w:cs="SabonLTStd-Roman"/>
          <w:color w:val="000000"/>
          <w:sz w:val="19"/>
          <w:szCs w:val="19"/>
        </w:rPr>
        <w:t>goodcause</w:t>
      </w:r>
      <w:proofErr w:type="spellEnd"/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removal is only one of a number of statutory provisions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that, working together, produce a constitutional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 xml:space="preserve">violation. In theory, perhaps, the Court might </w:t>
      </w:r>
      <w:proofErr w:type="spellStart"/>
      <w:r>
        <w:rPr>
          <w:rFonts w:ascii="SabonLTStd-Roman" w:hAnsi="SabonLTStd-Roman" w:cs="SabonLTStd-Roman"/>
          <w:color w:val="000000"/>
          <w:sz w:val="19"/>
          <w:szCs w:val="19"/>
        </w:rPr>
        <w:t>bluepencil</w:t>
      </w:r>
      <w:proofErr w:type="spellEnd"/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a sufficient number of the Board’s responsibilities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so that its members would no longer be “Officers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of the United States.” Or we could restrict the Board’s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enforcement powers, so that it would be a purely recommendatory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panel. Or the Board members could in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future be made removable by the President, for good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cause or at will. But such editorial freedom—far more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extensive than our holding today—belongs to the Legislature,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r>
        <w:rPr>
          <w:rFonts w:ascii="SabonLTStd-Roman" w:hAnsi="SabonLTStd-Roman" w:cs="SabonLTStd-Roman"/>
          <w:color w:val="000000"/>
          <w:sz w:val="19"/>
          <w:szCs w:val="19"/>
        </w:rPr>
        <w:t>not the Judiciary. Congress of course remains</w:t>
      </w:r>
    </w:p>
    <w:p w:rsidR="00D666BB" w:rsidRDefault="00D666BB" w:rsidP="00D666BB">
      <w:pPr>
        <w:autoSpaceDE w:val="0"/>
        <w:autoSpaceDN w:val="0"/>
        <w:adjustRightInd w:val="0"/>
        <w:spacing w:after="0" w:line="240" w:lineRule="auto"/>
        <w:rPr>
          <w:rFonts w:ascii="SabonLTStd-Roman" w:hAnsi="SabonLTStd-Roman" w:cs="SabonLTStd-Roman"/>
          <w:color w:val="000000"/>
          <w:sz w:val="19"/>
          <w:szCs w:val="19"/>
        </w:rPr>
      </w:pPr>
      <w:proofErr w:type="gramStart"/>
      <w:r>
        <w:rPr>
          <w:rFonts w:ascii="SabonLTStd-Roman" w:hAnsi="SabonLTStd-Roman" w:cs="SabonLTStd-Roman"/>
          <w:color w:val="000000"/>
          <w:sz w:val="19"/>
          <w:szCs w:val="19"/>
        </w:rPr>
        <w:t>free</w:t>
      </w:r>
      <w:proofErr w:type="gramEnd"/>
      <w:r>
        <w:rPr>
          <w:rFonts w:ascii="SabonLTStd-Roman" w:hAnsi="SabonLTStd-Roman" w:cs="SabonLTStd-Roman"/>
          <w:color w:val="000000"/>
          <w:sz w:val="19"/>
          <w:szCs w:val="19"/>
        </w:rPr>
        <w:t xml:space="preserve"> to pursue any of these options going forward. . . .</w:t>
      </w:r>
    </w:p>
    <w:p w:rsidR="002E0A24" w:rsidRDefault="00D666BB" w:rsidP="00D666BB">
      <w:pPr>
        <w:rPr>
          <w:rFonts w:ascii="SabonLTStd-Bold" w:hAnsi="SabonLTStd-Bold" w:cs="SabonLTStd-Bold"/>
          <w:b/>
          <w:bCs/>
          <w:color w:val="000000"/>
          <w:sz w:val="19"/>
          <w:szCs w:val="19"/>
        </w:rPr>
      </w:pPr>
      <w:r>
        <w:rPr>
          <w:rFonts w:ascii="SabonLTStd-Bold" w:hAnsi="SabonLTStd-Bold" w:cs="SabonLTStd-Bold"/>
          <w:b/>
          <w:bCs/>
          <w:color w:val="000000"/>
          <w:sz w:val="19"/>
          <w:szCs w:val="19"/>
        </w:rPr>
        <w:t>It is so ordered.</w:t>
      </w:r>
    </w:p>
    <w:p w:rsidR="006538A1" w:rsidRDefault="006538A1" w:rsidP="00D666BB">
      <w:pPr>
        <w:rPr>
          <w:rFonts w:ascii="SabonLTStd-Bold" w:hAnsi="SabonLTStd-Bold" w:cs="SabonLTStd-Bold"/>
          <w:b/>
          <w:bCs/>
          <w:color w:val="000000"/>
          <w:sz w:val="19"/>
          <w:szCs w:val="19"/>
        </w:rPr>
      </w:pPr>
    </w:p>
    <w:p w:rsidR="006538A1" w:rsidRPr="006538A1" w:rsidRDefault="006538A1" w:rsidP="006538A1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6538A1">
        <w:rPr>
          <w:rFonts w:ascii="Arial" w:eastAsia="Times New Roman" w:hAnsi="Arial" w:cs="Arial"/>
          <w:color w:val="000000"/>
          <w:sz w:val="29"/>
          <w:szCs w:val="29"/>
        </w:rPr>
        <w:t>The Legal and Regulatory Environment of Business, 16e</w:t>
      </w:r>
    </w:p>
    <w:p w:rsidR="006538A1" w:rsidRPr="006538A1" w:rsidRDefault="006538A1" w:rsidP="006538A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538A1">
        <w:rPr>
          <w:rFonts w:ascii="Arial" w:eastAsia="Times New Roman" w:hAnsi="Arial" w:cs="Arial"/>
          <w:color w:val="000000"/>
          <w:sz w:val="19"/>
          <w:szCs w:val="19"/>
        </w:rPr>
        <w:t>Chapter 15: The Legal and Regulatory Environment of Business, 16e</w:t>
      </w:r>
    </w:p>
    <w:p w:rsidR="006538A1" w:rsidRPr="006538A1" w:rsidRDefault="006538A1" w:rsidP="006538A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538A1">
        <w:rPr>
          <w:rFonts w:ascii="Arial" w:eastAsia="Times New Roman" w:hAnsi="Arial" w:cs="Arial"/>
          <w:color w:val="000000"/>
          <w:sz w:val="19"/>
          <w:szCs w:val="19"/>
        </w:rPr>
        <w:t>ISBN: 9780073524993 Author: O. Lee Reed</w:t>
      </w:r>
    </w:p>
    <w:p w:rsidR="006538A1" w:rsidRPr="006538A1" w:rsidRDefault="006538A1" w:rsidP="006538A1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6538A1">
        <w:rPr>
          <w:rFonts w:ascii="Arial" w:eastAsia="Times New Roman" w:hAnsi="Arial" w:cs="Arial"/>
          <w:color w:val="000000"/>
          <w:sz w:val="19"/>
          <w:szCs w:val="19"/>
        </w:rPr>
        <w:t>Copyright © McGraw-Hill (2013)</w:t>
      </w:r>
    </w:p>
    <w:p w:rsidR="006538A1" w:rsidRDefault="006538A1" w:rsidP="00D666BB"/>
    <w:sectPr w:rsidR="0065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GothicM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BB"/>
    <w:rsid w:val="002E0A24"/>
    <w:rsid w:val="006538A1"/>
    <w:rsid w:val="00706B77"/>
    <w:rsid w:val="00D6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4986A-0AF2-4E33-8D97-E5B79B0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Hill</dc:creator>
  <cp:keywords/>
  <dc:description/>
  <cp:lastModifiedBy>Kennedy Minai</cp:lastModifiedBy>
  <cp:revision>2</cp:revision>
  <dcterms:created xsi:type="dcterms:W3CDTF">2017-01-07T06:49:00Z</dcterms:created>
  <dcterms:modified xsi:type="dcterms:W3CDTF">2017-01-07T06:49:00Z</dcterms:modified>
</cp:coreProperties>
</file>