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3C5" w:rsidRPr="00295A30" w:rsidRDefault="004526CF" w:rsidP="00295A30">
      <w:pPr>
        <w:spacing w:line="480" w:lineRule="auto"/>
        <w:rPr>
          <w:rFonts w:ascii="Times New Roman" w:hAnsi="Times New Roman" w:cs="Times New Roman"/>
          <w:sz w:val="24"/>
          <w:szCs w:val="24"/>
        </w:rPr>
      </w:pPr>
      <w:r w:rsidRPr="00295A30">
        <w:rPr>
          <w:rFonts w:ascii="Times New Roman" w:hAnsi="Times New Roman" w:cs="Times New Roman"/>
          <w:sz w:val="24"/>
          <w:szCs w:val="24"/>
        </w:rPr>
        <w:t xml:space="preserve">Analysis of the Supreme Court cases </w:t>
      </w:r>
    </w:p>
    <w:p w:rsidR="004526CF" w:rsidRPr="00295A30" w:rsidRDefault="004526CF" w:rsidP="00295A30">
      <w:pPr>
        <w:spacing w:line="480" w:lineRule="auto"/>
        <w:rPr>
          <w:rFonts w:ascii="Times New Roman" w:hAnsi="Times New Roman" w:cs="Times New Roman"/>
          <w:sz w:val="24"/>
          <w:szCs w:val="24"/>
        </w:rPr>
      </w:pPr>
      <w:r w:rsidRPr="00295A30">
        <w:rPr>
          <w:rFonts w:ascii="Times New Roman" w:hAnsi="Times New Roman" w:cs="Times New Roman"/>
          <w:sz w:val="24"/>
          <w:szCs w:val="24"/>
        </w:rPr>
        <w:t>In re Gault 387 U.S 1 (1967)</w:t>
      </w:r>
    </w:p>
    <w:p w:rsidR="004526CF" w:rsidRPr="00295A30" w:rsidRDefault="004526CF" w:rsidP="00295A30">
      <w:pPr>
        <w:spacing w:line="480" w:lineRule="auto"/>
        <w:rPr>
          <w:rFonts w:ascii="Times New Roman" w:hAnsi="Times New Roman" w:cs="Times New Roman"/>
          <w:sz w:val="24"/>
          <w:szCs w:val="24"/>
        </w:rPr>
      </w:pPr>
      <w:r w:rsidRPr="00295A30">
        <w:rPr>
          <w:rFonts w:ascii="Times New Roman" w:hAnsi="Times New Roman" w:cs="Times New Roman"/>
          <w:sz w:val="24"/>
          <w:szCs w:val="24"/>
        </w:rPr>
        <w:t xml:space="preserve">How the case influence police arrest and how police interact with juveniles </w:t>
      </w:r>
    </w:p>
    <w:p w:rsidR="004526CF" w:rsidRPr="00295A30" w:rsidRDefault="004526CF" w:rsidP="00295A30">
      <w:pPr>
        <w:spacing w:line="480" w:lineRule="auto"/>
        <w:rPr>
          <w:rFonts w:ascii="Times New Roman" w:hAnsi="Times New Roman" w:cs="Times New Roman"/>
          <w:sz w:val="24"/>
          <w:szCs w:val="24"/>
        </w:rPr>
      </w:pPr>
      <w:bookmarkStart w:id="0" w:name="_GoBack"/>
      <w:r w:rsidRPr="00295A30">
        <w:rPr>
          <w:rFonts w:ascii="Times New Roman" w:hAnsi="Times New Roman" w:cs="Times New Roman"/>
          <w:sz w:val="24"/>
          <w:szCs w:val="24"/>
        </w:rPr>
        <w:t>In re Gault, 387 U.S. 1 (1967), was Unite States Supreme Court decision case that held that juvenile accused of crime in delinquency proceedings should be afforded due process rights as adults, such as right to confront witnesses</w:t>
      </w:r>
      <w:bookmarkEnd w:id="0"/>
      <w:r w:rsidRPr="00295A30">
        <w:rPr>
          <w:rFonts w:ascii="Times New Roman" w:hAnsi="Times New Roman" w:cs="Times New Roman"/>
          <w:sz w:val="24"/>
          <w:szCs w:val="24"/>
        </w:rPr>
        <w:t>, the right to timely and immediate notification of the charges, the right to counsel and the right against self-incrimination</w:t>
      </w:r>
      <w:r w:rsidR="00295A30" w:rsidRPr="00295A30">
        <w:rPr>
          <w:rFonts w:ascii="Times New Roman" w:hAnsi="Times New Roman" w:cs="Times New Roman"/>
          <w:color w:val="222222"/>
          <w:sz w:val="24"/>
          <w:szCs w:val="24"/>
          <w:shd w:val="clear" w:color="auto" w:fill="FFFFFF"/>
        </w:rPr>
        <w:t xml:space="preserve"> (</w:t>
      </w:r>
      <w:proofErr w:type="spellStart"/>
      <w:r w:rsidR="00295A30" w:rsidRPr="00295A30">
        <w:rPr>
          <w:rFonts w:ascii="Times New Roman" w:hAnsi="Times New Roman" w:cs="Times New Roman"/>
          <w:color w:val="222222"/>
          <w:sz w:val="24"/>
          <w:szCs w:val="24"/>
          <w:shd w:val="clear" w:color="auto" w:fill="FFFFFF"/>
        </w:rPr>
        <w:t>Dorsen</w:t>
      </w:r>
      <w:proofErr w:type="spellEnd"/>
      <w:r w:rsidR="00295A30" w:rsidRPr="00295A30">
        <w:rPr>
          <w:rFonts w:ascii="Times New Roman" w:hAnsi="Times New Roman" w:cs="Times New Roman"/>
          <w:color w:val="222222"/>
          <w:sz w:val="24"/>
          <w:szCs w:val="24"/>
          <w:shd w:val="clear" w:color="auto" w:fill="FFFFFF"/>
        </w:rPr>
        <w:t>, 2013)</w:t>
      </w:r>
      <w:r w:rsidRPr="00295A30">
        <w:rPr>
          <w:rFonts w:ascii="Times New Roman" w:hAnsi="Times New Roman" w:cs="Times New Roman"/>
          <w:sz w:val="24"/>
          <w:szCs w:val="24"/>
        </w:rPr>
        <w:t xml:space="preserve">. In this case, the court held that the United States Constitution requires a procedural regularity and exercise of great care implied in the due process as it provided under the law. </w:t>
      </w:r>
    </w:p>
    <w:p w:rsidR="004526CF" w:rsidRPr="00295A30" w:rsidRDefault="004526CF" w:rsidP="00295A30">
      <w:pPr>
        <w:spacing w:line="480" w:lineRule="auto"/>
        <w:rPr>
          <w:rFonts w:ascii="Times New Roman" w:hAnsi="Times New Roman" w:cs="Times New Roman"/>
          <w:sz w:val="24"/>
          <w:szCs w:val="24"/>
        </w:rPr>
      </w:pPr>
      <w:r w:rsidRPr="00295A30">
        <w:rPr>
          <w:rFonts w:ascii="Times New Roman" w:hAnsi="Times New Roman" w:cs="Times New Roman"/>
          <w:sz w:val="24"/>
          <w:szCs w:val="24"/>
        </w:rPr>
        <w:t>It is the role of the police to provide a due process, in such proceeding, that adequate written notice should be afforded to the child and their guardian or parents. The notice has to inform them of the particular issues that they have to meet. The notice must be provided in time, in any event, adequately in time o the hearing in order to permitting preparation</w:t>
      </w:r>
      <w:r w:rsidR="00295A30" w:rsidRPr="00295A30">
        <w:rPr>
          <w:rFonts w:ascii="Times New Roman" w:hAnsi="Times New Roman" w:cs="Times New Roman"/>
          <w:color w:val="222222"/>
          <w:sz w:val="24"/>
          <w:szCs w:val="24"/>
          <w:shd w:val="clear" w:color="auto" w:fill="FFFFFF"/>
        </w:rPr>
        <w:t xml:space="preserve"> (</w:t>
      </w:r>
      <w:proofErr w:type="spellStart"/>
      <w:r w:rsidR="00295A30" w:rsidRPr="00295A30">
        <w:rPr>
          <w:rFonts w:ascii="Times New Roman" w:hAnsi="Times New Roman" w:cs="Times New Roman"/>
          <w:color w:val="222222"/>
          <w:sz w:val="24"/>
          <w:szCs w:val="24"/>
          <w:shd w:val="clear" w:color="auto" w:fill="FFFFFF"/>
        </w:rPr>
        <w:t>Dorsen</w:t>
      </w:r>
      <w:proofErr w:type="spellEnd"/>
      <w:r w:rsidR="00295A30" w:rsidRPr="00295A30">
        <w:rPr>
          <w:rFonts w:ascii="Times New Roman" w:hAnsi="Times New Roman" w:cs="Times New Roman"/>
          <w:color w:val="222222"/>
          <w:sz w:val="24"/>
          <w:szCs w:val="24"/>
          <w:shd w:val="clear" w:color="auto" w:fill="FFFFFF"/>
        </w:rPr>
        <w:t>, 2013)</w:t>
      </w:r>
      <w:r w:rsidRPr="00295A30">
        <w:rPr>
          <w:rFonts w:ascii="Times New Roman" w:hAnsi="Times New Roman" w:cs="Times New Roman"/>
          <w:sz w:val="24"/>
          <w:szCs w:val="24"/>
        </w:rPr>
        <w:t xml:space="preserve">. </w:t>
      </w:r>
    </w:p>
    <w:p w:rsidR="00D54030" w:rsidRPr="00295A30" w:rsidRDefault="00D54030" w:rsidP="00295A30">
      <w:pPr>
        <w:spacing w:line="480" w:lineRule="auto"/>
        <w:rPr>
          <w:rFonts w:ascii="Times New Roman" w:hAnsi="Times New Roman" w:cs="Times New Roman"/>
          <w:sz w:val="24"/>
          <w:szCs w:val="24"/>
        </w:rPr>
      </w:pPr>
      <w:r w:rsidRPr="00295A30">
        <w:rPr>
          <w:rFonts w:ascii="Times New Roman" w:hAnsi="Times New Roman" w:cs="Times New Roman"/>
          <w:sz w:val="24"/>
          <w:szCs w:val="24"/>
        </w:rPr>
        <w:t>How the case change victim court procedures in juvenile justice:</w:t>
      </w:r>
    </w:p>
    <w:p w:rsidR="004526CF" w:rsidRPr="00295A30" w:rsidRDefault="0021174C" w:rsidP="00295A30">
      <w:pPr>
        <w:spacing w:line="480" w:lineRule="auto"/>
        <w:rPr>
          <w:rFonts w:ascii="Times New Roman" w:hAnsi="Times New Roman" w:cs="Times New Roman"/>
          <w:sz w:val="24"/>
          <w:szCs w:val="24"/>
        </w:rPr>
      </w:pPr>
      <w:r w:rsidRPr="00295A30">
        <w:rPr>
          <w:rFonts w:ascii="Times New Roman" w:hAnsi="Times New Roman" w:cs="Times New Roman"/>
          <w:sz w:val="24"/>
          <w:szCs w:val="24"/>
        </w:rPr>
        <w:t xml:space="preserve"> In unanimous ruling, the court held that, in such proceedings that involve juveniles, a sufficient written notice should be afforded to the child and their parents. Herein, the notice is neither adequately specific nor timely, nor is there a waiver of the right to a constitutionally sufficient notice. Furthermore, in such juvenile proceedings, the child and his parents or guardians must be advised and informed of their rights to be represented by an attorney. If they cannot afford a counsel, a counsel should be appointed to represent the child</w:t>
      </w:r>
      <w:r w:rsidR="00295A30" w:rsidRPr="00295A30">
        <w:rPr>
          <w:rFonts w:ascii="Times New Roman" w:hAnsi="Times New Roman" w:cs="Times New Roman"/>
          <w:color w:val="222222"/>
          <w:sz w:val="24"/>
          <w:szCs w:val="24"/>
          <w:shd w:val="clear" w:color="auto" w:fill="FFFFFF"/>
        </w:rPr>
        <w:t xml:space="preserve"> (</w:t>
      </w:r>
      <w:proofErr w:type="spellStart"/>
      <w:r w:rsidR="00295A30" w:rsidRPr="00295A30">
        <w:rPr>
          <w:rFonts w:ascii="Times New Roman" w:hAnsi="Times New Roman" w:cs="Times New Roman"/>
          <w:color w:val="222222"/>
          <w:sz w:val="24"/>
          <w:szCs w:val="24"/>
          <w:shd w:val="clear" w:color="auto" w:fill="FFFFFF"/>
        </w:rPr>
        <w:t>Lefstein</w:t>
      </w:r>
      <w:proofErr w:type="spellEnd"/>
      <w:r w:rsidR="00295A30" w:rsidRPr="00295A30">
        <w:rPr>
          <w:rFonts w:ascii="Times New Roman" w:hAnsi="Times New Roman" w:cs="Times New Roman"/>
          <w:color w:val="222222"/>
          <w:sz w:val="24"/>
          <w:szCs w:val="24"/>
          <w:shd w:val="clear" w:color="auto" w:fill="FFFFFF"/>
        </w:rPr>
        <w:t>, 2017)</w:t>
      </w:r>
      <w:r w:rsidRPr="00295A30">
        <w:rPr>
          <w:rFonts w:ascii="Times New Roman" w:hAnsi="Times New Roman" w:cs="Times New Roman"/>
          <w:sz w:val="24"/>
          <w:szCs w:val="24"/>
        </w:rPr>
        <w:t xml:space="preserve">. </w:t>
      </w:r>
    </w:p>
    <w:p w:rsidR="00836365" w:rsidRPr="00295A30" w:rsidRDefault="00836365" w:rsidP="00295A30">
      <w:pPr>
        <w:spacing w:line="480" w:lineRule="auto"/>
        <w:rPr>
          <w:rFonts w:ascii="Times New Roman" w:hAnsi="Times New Roman" w:cs="Times New Roman"/>
          <w:sz w:val="24"/>
          <w:szCs w:val="24"/>
        </w:rPr>
      </w:pPr>
      <w:r w:rsidRPr="00295A30">
        <w:rPr>
          <w:rFonts w:ascii="Times New Roman" w:hAnsi="Times New Roman" w:cs="Times New Roman"/>
          <w:sz w:val="24"/>
          <w:szCs w:val="24"/>
        </w:rPr>
        <w:t xml:space="preserve">In re </w:t>
      </w:r>
      <w:proofErr w:type="spellStart"/>
      <w:r w:rsidRPr="00295A30">
        <w:rPr>
          <w:rFonts w:ascii="Times New Roman" w:hAnsi="Times New Roman" w:cs="Times New Roman"/>
          <w:sz w:val="24"/>
          <w:szCs w:val="24"/>
        </w:rPr>
        <w:t>Winship</w:t>
      </w:r>
      <w:proofErr w:type="spellEnd"/>
      <w:r w:rsidRPr="00295A30">
        <w:rPr>
          <w:rFonts w:ascii="Times New Roman" w:hAnsi="Times New Roman" w:cs="Times New Roman"/>
          <w:sz w:val="24"/>
          <w:szCs w:val="24"/>
        </w:rPr>
        <w:t xml:space="preserve"> 397 U.S 358 (1970)</w:t>
      </w:r>
    </w:p>
    <w:p w:rsidR="00836365" w:rsidRPr="00295A30" w:rsidRDefault="000167E7" w:rsidP="00295A30">
      <w:pPr>
        <w:spacing w:line="480" w:lineRule="auto"/>
        <w:rPr>
          <w:rFonts w:ascii="Times New Roman" w:hAnsi="Times New Roman" w:cs="Times New Roman"/>
          <w:sz w:val="24"/>
          <w:szCs w:val="24"/>
        </w:rPr>
      </w:pPr>
      <w:r w:rsidRPr="00295A30">
        <w:rPr>
          <w:rFonts w:ascii="Times New Roman" w:hAnsi="Times New Roman" w:cs="Times New Roman"/>
          <w:sz w:val="24"/>
          <w:szCs w:val="24"/>
        </w:rPr>
        <w:lastRenderedPageBreak/>
        <w:t>How the case influence police arrests and how the police interact with juvenile</w:t>
      </w:r>
    </w:p>
    <w:p w:rsidR="000167E7" w:rsidRPr="00295A30" w:rsidRDefault="000167E7" w:rsidP="00295A30">
      <w:pPr>
        <w:spacing w:line="480" w:lineRule="auto"/>
        <w:rPr>
          <w:rFonts w:ascii="Times New Roman" w:hAnsi="Times New Roman" w:cs="Times New Roman"/>
          <w:sz w:val="24"/>
          <w:szCs w:val="24"/>
        </w:rPr>
      </w:pPr>
      <w:r w:rsidRPr="00295A30">
        <w:rPr>
          <w:rFonts w:ascii="Times New Roman" w:hAnsi="Times New Roman" w:cs="Times New Roman"/>
          <w:sz w:val="24"/>
          <w:szCs w:val="24"/>
        </w:rPr>
        <w:t xml:space="preserve">In re </w:t>
      </w:r>
      <w:proofErr w:type="spellStart"/>
      <w:r w:rsidRPr="00295A30">
        <w:rPr>
          <w:rFonts w:ascii="Times New Roman" w:hAnsi="Times New Roman" w:cs="Times New Roman"/>
          <w:sz w:val="24"/>
          <w:szCs w:val="24"/>
        </w:rPr>
        <w:t>Winship</w:t>
      </w:r>
      <w:proofErr w:type="spellEnd"/>
      <w:r w:rsidRPr="00295A30">
        <w:rPr>
          <w:rFonts w:ascii="Times New Roman" w:hAnsi="Times New Roman" w:cs="Times New Roman"/>
          <w:sz w:val="24"/>
          <w:szCs w:val="24"/>
        </w:rPr>
        <w:t xml:space="preserve"> was a United Stated Supreme Court case, in which it was held that the due process </w:t>
      </w:r>
      <w:r w:rsidR="006C51CD" w:rsidRPr="00295A30">
        <w:rPr>
          <w:rFonts w:ascii="Times New Roman" w:hAnsi="Times New Roman" w:cs="Times New Roman"/>
          <w:sz w:val="24"/>
          <w:szCs w:val="24"/>
        </w:rPr>
        <w:t xml:space="preserve">clause provides protection to the accused (person) against any form of conviction except upon proof beyond a “reasonable doubt” of any every fact necessary and importantly crucial to constituting the crime charged. </w:t>
      </w:r>
      <w:r w:rsidR="00FA1BED" w:rsidRPr="00295A30">
        <w:rPr>
          <w:rFonts w:ascii="Times New Roman" w:hAnsi="Times New Roman" w:cs="Times New Roman"/>
          <w:sz w:val="24"/>
          <w:szCs w:val="24"/>
        </w:rPr>
        <w:t>The case established this burden of proof in all cases and in all states as per the constitutional stipulations. However, the judges in this case failed to specify, which facts are constitutive of the charged crime</w:t>
      </w:r>
      <w:r w:rsidR="00295A30" w:rsidRPr="00295A30">
        <w:rPr>
          <w:rFonts w:ascii="Times New Roman" w:hAnsi="Times New Roman" w:cs="Times New Roman"/>
          <w:sz w:val="24"/>
          <w:szCs w:val="24"/>
        </w:rPr>
        <w:t xml:space="preserve"> </w:t>
      </w:r>
      <w:r w:rsidR="00295A30" w:rsidRPr="00295A30">
        <w:rPr>
          <w:rFonts w:ascii="Times New Roman" w:hAnsi="Times New Roman" w:cs="Times New Roman"/>
          <w:color w:val="222222"/>
          <w:sz w:val="24"/>
          <w:szCs w:val="24"/>
          <w:shd w:val="clear" w:color="auto" w:fill="FFFFFF"/>
        </w:rPr>
        <w:t>(</w:t>
      </w:r>
      <w:proofErr w:type="spellStart"/>
      <w:r w:rsidR="00295A30" w:rsidRPr="00295A30">
        <w:rPr>
          <w:rFonts w:ascii="Times New Roman" w:hAnsi="Times New Roman" w:cs="Times New Roman"/>
          <w:color w:val="222222"/>
          <w:sz w:val="24"/>
          <w:szCs w:val="24"/>
          <w:shd w:val="clear" w:color="auto" w:fill="FFFFFF"/>
        </w:rPr>
        <w:t>Lefstein</w:t>
      </w:r>
      <w:proofErr w:type="spellEnd"/>
      <w:r w:rsidR="00295A30" w:rsidRPr="00295A30">
        <w:rPr>
          <w:rFonts w:ascii="Times New Roman" w:hAnsi="Times New Roman" w:cs="Times New Roman"/>
          <w:color w:val="222222"/>
          <w:sz w:val="24"/>
          <w:szCs w:val="24"/>
          <w:shd w:val="clear" w:color="auto" w:fill="FFFFFF"/>
        </w:rPr>
        <w:t>, 2017)</w:t>
      </w:r>
      <w:r w:rsidR="00FA1BED" w:rsidRPr="00295A30">
        <w:rPr>
          <w:rFonts w:ascii="Times New Roman" w:hAnsi="Times New Roman" w:cs="Times New Roman"/>
          <w:sz w:val="24"/>
          <w:szCs w:val="24"/>
        </w:rPr>
        <w:t xml:space="preserve">. </w:t>
      </w:r>
      <w:r w:rsidR="00DF38FE" w:rsidRPr="00295A30">
        <w:rPr>
          <w:rFonts w:ascii="Times New Roman" w:hAnsi="Times New Roman" w:cs="Times New Roman"/>
          <w:sz w:val="24"/>
          <w:szCs w:val="24"/>
        </w:rPr>
        <w:t xml:space="preserve">It was also held in this case that when a child/minor is charged with an act that would treated as a crime committed by an adult, all elements of such offence much be proved “beyond reasonable doubt” rather not “preponderance of evidence”. </w:t>
      </w:r>
    </w:p>
    <w:p w:rsidR="003D2503" w:rsidRPr="00295A30" w:rsidRDefault="003D2503" w:rsidP="00295A30">
      <w:pPr>
        <w:spacing w:line="480" w:lineRule="auto"/>
        <w:rPr>
          <w:rFonts w:ascii="Times New Roman" w:hAnsi="Times New Roman" w:cs="Times New Roman"/>
          <w:sz w:val="24"/>
          <w:szCs w:val="24"/>
        </w:rPr>
      </w:pPr>
      <w:r w:rsidRPr="00295A30">
        <w:rPr>
          <w:rFonts w:ascii="Times New Roman" w:hAnsi="Times New Roman" w:cs="Times New Roman"/>
          <w:sz w:val="24"/>
          <w:szCs w:val="24"/>
        </w:rPr>
        <w:t>How the case change victim court procedures in juvenile justice:</w:t>
      </w:r>
    </w:p>
    <w:p w:rsidR="003D2503" w:rsidRPr="00295A30" w:rsidRDefault="008C124F" w:rsidP="00295A30">
      <w:pPr>
        <w:spacing w:line="480" w:lineRule="auto"/>
        <w:rPr>
          <w:rFonts w:ascii="Times New Roman" w:hAnsi="Times New Roman" w:cs="Times New Roman"/>
          <w:sz w:val="24"/>
          <w:szCs w:val="24"/>
        </w:rPr>
      </w:pPr>
      <w:r w:rsidRPr="00295A30">
        <w:rPr>
          <w:rFonts w:ascii="Times New Roman" w:hAnsi="Times New Roman" w:cs="Times New Roman"/>
          <w:sz w:val="24"/>
          <w:szCs w:val="24"/>
        </w:rPr>
        <w:t>In this case, it was held that although the 14</w:t>
      </w:r>
      <w:r w:rsidRPr="00295A30">
        <w:rPr>
          <w:rFonts w:ascii="Times New Roman" w:hAnsi="Times New Roman" w:cs="Times New Roman"/>
          <w:sz w:val="24"/>
          <w:szCs w:val="24"/>
          <w:vertAlign w:val="superscript"/>
        </w:rPr>
        <w:t>th</w:t>
      </w:r>
      <w:r w:rsidRPr="00295A30">
        <w:rPr>
          <w:rFonts w:ascii="Times New Roman" w:hAnsi="Times New Roman" w:cs="Times New Roman"/>
          <w:sz w:val="24"/>
          <w:szCs w:val="24"/>
        </w:rPr>
        <w:t xml:space="preserve"> Amendment does not make it mandatory for hearing at this stage of criminal trial, the Due Process makes it compulsory to provide an application during adjudicatory hearing. </w:t>
      </w:r>
      <w:r w:rsidR="004C1C60" w:rsidRPr="00295A30">
        <w:rPr>
          <w:rFonts w:ascii="Times New Roman" w:hAnsi="Times New Roman" w:cs="Times New Roman"/>
          <w:sz w:val="24"/>
          <w:szCs w:val="24"/>
        </w:rPr>
        <w:t>This case presents a narrow, single question whether proof “beyond a reasonable doubt” is one of the fundamentals of fair treatment and due process</w:t>
      </w:r>
      <w:r w:rsidR="00295A30" w:rsidRPr="00295A30">
        <w:rPr>
          <w:rFonts w:ascii="Times New Roman" w:hAnsi="Times New Roman" w:cs="Times New Roman"/>
          <w:sz w:val="24"/>
          <w:szCs w:val="24"/>
        </w:rPr>
        <w:t xml:space="preserve"> (Brown, 2017)</w:t>
      </w:r>
      <w:r w:rsidR="004C1C60" w:rsidRPr="00295A30">
        <w:rPr>
          <w:rFonts w:ascii="Times New Roman" w:hAnsi="Times New Roman" w:cs="Times New Roman"/>
          <w:sz w:val="24"/>
          <w:szCs w:val="24"/>
        </w:rPr>
        <w:t xml:space="preserve">. </w:t>
      </w:r>
    </w:p>
    <w:p w:rsidR="009A1B7B" w:rsidRPr="00295A30" w:rsidRDefault="009A1B7B" w:rsidP="00295A30">
      <w:pPr>
        <w:spacing w:line="480" w:lineRule="auto"/>
        <w:rPr>
          <w:rFonts w:ascii="Times New Roman" w:hAnsi="Times New Roman" w:cs="Times New Roman"/>
          <w:sz w:val="24"/>
          <w:szCs w:val="24"/>
        </w:rPr>
      </w:pPr>
      <w:r w:rsidRPr="00295A30">
        <w:rPr>
          <w:rFonts w:ascii="Times New Roman" w:hAnsi="Times New Roman" w:cs="Times New Roman"/>
          <w:sz w:val="24"/>
          <w:szCs w:val="24"/>
        </w:rPr>
        <w:t xml:space="preserve">References </w:t>
      </w:r>
    </w:p>
    <w:p w:rsidR="004526CF" w:rsidRPr="00295A30" w:rsidRDefault="00295A30" w:rsidP="00295A30">
      <w:pPr>
        <w:spacing w:line="480" w:lineRule="auto"/>
        <w:rPr>
          <w:rFonts w:ascii="Times New Roman" w:hAnsi="Times New Roman" w:cs="Times New Roman"/>
          <w:color w:val="222222"/>
          <w:sz w:val="24"/>
          <w:szCs w:val="24"/>
          <w:shd w:val="clear" w:color="auto" w:fill="FFFFFF"/>
        </w:rPr>
      </w:pPr>
      <w:proofErr w:type="spellStart"/>
      <w:r w:rsidRPr="00295A30">
        <w:rPr>
          <w:rFonts w:ascii="Times New Roman" w:hAnsi="Times New Roman" w:cs="Times New Roman"/>
          <w:color w:val="222222"/>
          <w:sz w:val="24"/>
          <w:szCs w:val="24"/>
          <w:shd w:val="clear" w:color="auto" w:fill="FFFFFF"/>
        </w:rPr>
        <w:t>Dorsen</w:t>
      </w:r>
      <w:proofErr w:type="spellEnd"/>
      <w:r w:rsidRPr="00295A30">
        <w:rPr>
          <w:rFonts w:ascii="Times New Roman" w:hAnsi="Times New Roman" w:cs="Times New Roman"/>
          <w:color w:val="222222"/>
          <w:sz w:val="24"/>
          <w:szCs w:val="24"/>
          <w:shd w:val="clear" w:color="auto" w:fill="FFFFFF"/>
        </w:rPr>
        <w:t xml:space="preserve">, N., &amp; </w:t>
      </w:r>
      <w:proofErr w:type="spellStart"/>
      <w:r w:rsidRPr="00295A30">
        <w:rPr>
          <w:rFonts w:ascii="Times New Roman" w:hAnsi="Times New Roman" w:cs="Times New Roman"/>
          <w:color w:val="222222"/>
          <w:sz w:val="24"/>
          <w:szCs w:val="24"/>
          <w:shd w:val="clear" w:color="auto" w:fill="FFFFFF"/>
        </w:rPr>
        <w:t>Rezneck</w:t>
      </w:r>
      <w:proofErr w:type="spellEnd"/>
      <w:r w:rsidRPr="00295A30">
        <w:rPr>
          <w:rFonts w:ascii="Times New Roman" w:hAnsi="Times New Roman" w:cs="Times New Roman"/>
          <w:color w:val="222222"/>
          <w:sz w:val="24"/>
          <w:szCs w:val="24"/>
          <w:shd w:val="clear" w:color="auto" w:fill="FFFFFF"/>
        </w:rPr>
        <w:t>, D. A. (2013). In re Gault and the future of juvenile law. </w:t>
      </w:r>
      <w:r w:rsidRPr="00295A30">
        <w:rPr>
          <w:rFonts w:ascii="Times New Roman" w:hAnsi="Times New Roman" w:cs="Times New Roman"/>
          <w:i/>
          <w:iCs/>
          <w:color w:val="222222"/>
          <w:sz w:val="24"/>
          <w:szCs w:val="24"/>
          <w:shd w:val="clear" w:color="auto" w:fill="FFFFFF"/>
        </w:rPr>
        <w:t>Family Law Quarterly</w:t>
      </w:r>
      <w:r w:rsidRPr="00295A30">
        <w:rPr>
          <w:rFonts w:ascii="Times New Roman" w:hAnsi="Times New Roman" w:cs="Times New Roman"/>
          <w:color w:val="222222"/>
          <w:sz w:val="24"/>
          <w:szCs w:val="24"/>
          <w:shd w:val="clear" w:color="auto" w:fill="FFFFFF"/>
        </w:rPr>
        <w:t>, 1-46.</w:t>
      </w:r>
    </w:p>
    <w:p w:rsidR="00295A30" w:rsidRPr="00295A30" w:rsidRDefault="00295A30" w:rsidP="00295A30">
      <w:pPr>
        <w:spacing w:line="480" w:lineRule="auto"/>
        <w:rPr>
          <w:rFonts w:ascii="Times New Roman" w:hAnsi="Times New Roman" w:cs="Times New Roman"/>
          <w:color w:val="222222"/>
          <w:sz w:val="24"/>
          <w:szCs w:val="24"/>
          <w:shd w:val="clear" w:color="auto" w:fill="FFFFFF"/>
        </w:rPr>
      </w:pPr>
      <w:proofErr w:type="spellStart"/>
      <w:r w:rsidRPr="00295A30">
        <w:rPr>
          <w:rFonts w:ascii="Times New Roman" w:hAnsi="Times New Roman" w:cs="Times New Roman"/>
          <w:color w:val="222222"/>
          <w:sz w:val="24"/>
          <w:szCs w:val="24"/>
          <w:shd w:val="clear" w:color="auto" w:fill="FFFFFF"/>
        </w:rPr>
        <w:t>Lefstein</w:t>
      </w:r>
      <w:proofErr w:type="spellEnd"/>
      <w:r w:rsidRPr="00295A30">
        <w:rPr>
          <w:rFonts w:ascii="Times New Roman" w:hAnsi="Times New Roman" w:cs="Times New Roman"/>
          <w:color w:val="222222"/>
          <w:sz w:val="24"/>
          <w:szCs w:val="24"/>
          <w:shd w:val="clear" w:color="auto" w:fill="FFFFFF"/>
        </w:rPr>
        <w:t>, N. (2017). In re Gault, juvenile courts and lawyers. </w:t>
      </w:r>
      <w:r w:rsidRPr="00295A30">
        <w:rPr>
          <w:rFonts w:ascii="Times New Roman" w:hAnsi="Times New Roman" w:cs="Times New Roman"/>
          <w:i/>
          <w:iCs/>
          <w:color w:val="222222"/>
          <w:sz w:val="24"/>
          <w:szCs w:val="24"/>
          <w:shd w:val="clear" w:color="auto" w:fill="FFFFFF"/>
        </w:rPr>
        <w:t>American Bar Association Journal</w:t>
      </w:r>
      <w:r w:rsidRPr="00295A30">
        <w:rPr>
          <w:rFonts w:ascii="Times New Roman" w:hAnsi="Times New Roman" w:cs="Times New Roman"/>
          <w:color w:val="222222"/>
          <w:sz w:val="24"/>
          <w:szCs w:val="24"/>
          <w:shd w:val="clear" w:color="auto" w:fill="FFFFFF"/>
        </w:rPr>
        <w:t>, 811-814.</w:t>
      </w:r>
    </w:p>
    <w:p w:rsidR="00295A30" w:rsidRPr="00295A30" w:rsidRDefault="00295A30" w:rsidP="00295A30">
      <w:pPr>
        <w:spacing w:line="480" w:lineRule="auto"/>
        <w:rPr>
          <w:rFonts w:ascii="Times New Roman" w:hAnsi="Times New Roman" w:cs="Times New Roman"/>
          <w:sz w:val="24"/>
          <w:szCs w:val="24"/>
        </w:rPr>
      </w:pPr>
      <w:r w:rsidRPr="00295A30">
        <w:rPr>
          <w:rFonts w:ascii="Times New Roman" w:hAnsi="Times New Roman" w:cs="Times New Roman"/>
          <w:color w:val="222222"/>
          <w:sz w:val="24"/>
          <w:szCs w:val="24"/>
          <w:shd w:val="clear" w:color="auto" w:fill="FFFFFF"/>
        </w:rPr>
        <w:lastRenderedPageBreak/>
        <w:t xml:space="preserve">Brown, E. (2017). In re </w:t>
      </w:r>
      <w:proofErr w:type="spellStart"/>
      <w:r w:rsidRPr="00295A30">
        <w:rPr>
          <w:rFonts w:ascii="Times New Roman" w:hAnsi="Times New Roman" w:cs="Times New Roman"/>
          <w:color w:val="222222"/>
          <w:sz w:val="24"/>
          <w:szCs w:val="24"/>
          <w:shd w:val="clear" w:color="auto" w:fill="FFFFFF"/>
        </w:rPr>
        <w:t>Winship</w:t>
      </w:r>
      <w:proofErr w:type="spellEnd"/>
      <w:r w:rsidRPr="00295A30">
        <w:rPr>
          <w:rFonts w:ascii="Times New Roman" w:hAnsi="Times New Roman" w:cs="Times New Roman"/>
          <w:color w:val="222222"/>
          <w:sz w:val="24"/>
          <w:szCs w:val="24"/>
          <w:shd w:val="clear" w:color="auto" w:fill="FFFFFF"/>
        </w:rPr>
        <w:t>. </w:t>
      </w:r>
      <w:r w:rsidRPr="00295A30">
        <w:rPr>
          <w:rFonts w:ascii="Times New Roman" w:hAnsi="Times New Roman" w:cs="Times New Roman"/>
          <w:i/>
          <w:iCs/>
          <w:color w:val="222222"/>
          <w:sz w:val="24"/>
          <w:szCs w:val="24"/>
          <w:shd w:val="clear" w:color="auto" w:fill="FFFFFF"/>
        </w:rPr>
        <w:t>The Encyclopedia of Juvenile Delinquency and Justice</w:t>
      </w:r>
      <w:r w:rsidRPr="00295A30">
        <w:rPr>
          <w:rFonts w:ascii="Times New Roman" w:hAnsi="Times New Roman" w:cs="Times New Roman"/>
          <w:color w:val="222222"/>
          <w:sz w:val="24"/>
          <w:szCs w:val="24"/>
          <w:shd w:val="clear" w:color="auto" w:fill="FFFFFF"/>
        </w:rPr>
        <w:t>.</w:t>
      </w:r>
    </w:p>
    <w:sectPr w:rsidR="00295A30" w:rsidRPr="00295A30" w:rsidSect="004E10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6CF"/>
    <w:rsid w:val="000167E7"/>
    <w:rsid w:val="000B5C7B"/>
    <w:rsid w:val="001170F7"/>
    <w:rsid w:val="0021174C"/>
    <w:rsid w:val="00295A30"/>
    <w:rsid w:val="003D2503"/>
    <w:rsid w:val="004526CF"/>
    <w:rsid w:val="004C1C60"/>
    <w:rsid w:val="004E1041"/>
    <w:rsid w:val="005853C5"/>
    <w:rsid w:val="005B5BE4"/>
    <w:rsid w:val="006C51CD"/>
    <w:rsid w:val="00836365"/>
    <w:rsid w:val="008C124F"/>
    <w:rsid w:val="009A1B7B"/>
    <w:rsid w:val="00B42B96"/>
    <w:rsid w:val="00C7487E"/>
    <w:rsid w:val="00D54030"/>
    <w:rsid w:val="00DF38FE"/>
    <w:rsid w:val="00FA1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E288FD-5E62-41FE-A04A-34AA28D08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0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504</Words>
  <Characters>2874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haugh khym</cp:lastModifiedBy>
  <cp:revision>2</cp:revision>
  <dcterms:created xsi:type="dcterms:W3CDTF">2019-01-07T02:34:00Z</dcterms:created>
  <dcterms:modified xsi:type="dcterms:W3CDTF">2019-01-07T02:34:00Z</dcterms:modified>
</cp:coreProperties>
</file>