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shd w:val="clear" w:color="auto" w:fill="FFFFFF"/>
        <w:tblCellMar>
          <w:left w:w="0" w:type="dxa"/>
          <w:right w:w="0" w:type="dxa"/>
        </w:tblCellMar>
        <w:tblLook w:val="04A0"/>
      </w:tblPr>
      <w:tblGrid>
        <w:gridCol w:w="1695"/>
        <w:gridCol w:w="2242"/>
        <w:gridCol w:w="2291"/>
        <w:gridCol w:w="2242"/>
        <w:gridCol w:w="2242"/>
        <w:gridCol w:w="2242"/>
        <w:gridCol w:w="6"/>
      </w:tblGrid>
      <w:tr w:rsidR="004C1CF5" w:rsidRPr="004C1CF5" w:rsidTr="004C1CF5">
        <w:trPr>
          <w:gridAfter w:val="1"/>
          <w:tblCellSpacing w:w="0" w:type="dxa"/>
        </w:trPr>
        <w:tc>
          <w:tcPr>
            <w:tcW w:w="2565" w:type="dxa"/>
            <w:shd w:val="clear" w:color="auto" w:fill="FFFFFF"/>
            <w:tcMar>
              <w:top w:w="60" w:type="dxa"/>
              <w:left w:w="0" w:type="dxa"/>
              <w:bottom w:w="60" w:type="dxa"/>
              <w:right w:w="0" w:type="dxa"/>
            </w:tcMar>
            <w:vAlign w:val="center"/>
            <w:hideMark/>
          </w:tcPr>
          <w:p w:rsidR="004C1CF5" w:rsidRPr="004C1CF5" w:rsidRDefault="004C1CF5" w:rsidP="004C1CF5">
            <w:pPr>
              <w:spacing w:line="210" w:lineRule="atLeast"/>
              <w:jc w:val="center"/>
              <w:rPr>
                <w:rFonts w:ascii="Trebuchet MS" w:eastAsia="Times New Roman" w:hAnsi="Trebuchet MS" w:cs="Times New Roman"/>
                <w:b/>
                <w:bCs/>
                <w:color w:val="555555"/>
                <w:sz w:val="18"/>
                <w:szCs w:val="18"/>
              </w:rPr>
            </w:pPr>
            <w:r w:rsidRPr="004C1CF5">
              <w:rPr>
                <w:rFonts w:ascii="Trebuchet MS" w:eastAsia="Times New Roman" w:hAnsi="Trebuchet MS" w:cs="Times New Roman"/>
                <w:b/>
                <w:bCs/>
                <w:color w:val="555555"/>
                <w:sz w:val="18"/>
                <w:szCs w:val="18"/>
              </w:rPr>
              <w:t> </w:t>
            </w:r>
          </w:p>
        </w:tc>
        <w:tc>
          <w:tcPr>
            <w:tcW w:w="1935" w:type="dxa"/>
            <w:shd w:val="clear" w:color="auto" w:fill="FFFFFF"/>
            <w:tcMar>
              <w:top w:w="60" w:type="dxa"/>
              <w:left w:w="0" w:type="dxa"/>
              <w:bottom w:w="60" w:type="dxa"/>
              <w:right w:w="0" w:type="dxa"/>
            </w:tcMar>
            <w:vAlign w:val="center"/>
            <w:hideMark/>
          </w:tcPr>
          <w:p w:rsidR="004C1CF5" w:rsidRPr="004C1CF5" w:rsidRDefault="004C1CF5" w:rsidP="004C1CF5">
            <w:pPr>
              <w:spacing w:line="210" w:lineRule="atLeast"/>
              <w:jc w:val="center"/>
              <w:rPr>
                <w:rFonts w:ascii="Trebuchet MS" w:eastAsia="Times New Roman" w:hAnsi="Trebuchet MS" w:cs="Times New Roman"/>
                <w:b/>
                <w:bCs/>
                <w:color w:val="555555"/>
                <w:sz w:val="18"/>
                <w:szCs w:val="18"/>
              </w:rPr>
            </w:pPr>
            <w:r w:rsidRPr="004C1CF5">
              <w:rPr>
                <w:rFonts w:ascii="Trebuchet MS" w:eastAsia="Times New Roman" w:hAnsi="Trebuchet MS" w:cs="Times New Roman"/>
                <w:b/>
                <w:bCs/>
                <w:color w:val="555555"/>
                <w:sz w:val="18"/>
                <w:szCs w:val="18"/>
              </w:rPr>
              <w:t>1</w:t>
            </w:r>
            <w:r w:rsidRPr="004C1CF5">
              <w:rPr>
                <w:rFonts w:ascii="Trebuchet MS" w:eastAsia="Times New Roman" w:hAnsi="Trebuchet MS" w:cs="Times New Roman"/>
                <w:b/>
                <w:bCs/>
                <w:color w:val="555555"/>
                <w:sz w:val="18"/>
                <w:szCs w:val="18"/>
              </w:rPr>
              <w:br/>
              <w:t>Unsatisfactory</w:t>
            </w:r>
            <w:r w:rsidRPr="004C1CF5">
              <w:rPr>
                <w:rFonts w:ascii="Trebuchet MS" w:eastAsia="Times New Roman" w:hAnsi="Trebuchet MS" w:cs="Times New Roman"/>
                <w:b/>
                <w:bCs/>
                <w:color w:val="555555"/>
                <w:sz w:val="18"/>
                <w:szCs w:val="18"/>
              </w:rPr>
              <w:br/>
              <w:t>0.00%</w:t>
            </w:r>
          </w:p>
        </w:tc>
        <w:tc>
          <w:tcPr>
            <w:tcW w:w="1935" w:type="dxa"/>
            <w:shd w:val="clear" w:color="auto" w:fill="FFFFFF"/>
            <w:tcMar>
              <w:top w:w="60" w:type="dxa"/>
              <w:left w:w="0" w:type="dxa"/>
              <w:bottom w:w="60" w:type="dxa"/>
              <w:right w:w="0" w:type="dxa"/>
            </w:tcMar>
            <w:vAlign w:val="center"/>
            <w:hideMark/>
          </w:tcPr>
          <w:p w:rsidR="004C1CF5" w:rsidRPr="004C1CF5" w:rsidRDefault="004C1CF5" w:rsidP="004C1CF5">
            <w:pPr>
              <w:spacing w:line="210" w:lineRule="atLeast"/>
              <w:jc w:val="center"/>
              <w:rPr>
                <w:rFonts w:ascii="Trebuchet MS" w:eastAsia="Times New Roman" w:hAnsi="Trebuchet MS" w:cs="Times New Roman"/>
                <w:b/>
                <w:bCs/>
                <w:color w:val="555555"/>
                <w:sz w:val="18"/>
                <w:szCs w:val="18"/>
              </w:rPr>
            </w:pPr>
            <w:r w:rsidRPr="004C1CF5">
              <w:rPr>
                <w:rFonts w:ascii="Trebuchet MS" w:eastAsia="Times New Roman" w:hAnsi="Trebuchet MS" w:cs="Times New Roman"/>
                <w:b/>
                <w:bCs/>
                <w:color w:val="555555"/>
                <w:sz w:val="18"/>
                <w:szCs w:val="18"/>
              </w:rPr>
              <w:t>2</w:t>
            </w:r>
            <w:r w:rsidRPr="004C1CF5">
              <w:rPr>
                <w:rFonts w:ascii="Trebuchet MS" w:eastAsia="Times New Roman" w:hAnsi="Trebuchet MS" w:cs="Times New Roman"/>
                <w:b/>
                <w:bCs/>
                <w:color w:val="555555"/>
                <w:sz w:val="18"/>
                <w:szCs w:val="18"/>
              </w:rPr>
              <w:br/>
              <w:t>Less than Satisfactory</w:t>
            </w:r>
            <w:r w:rsidRPr="004C1CF5">
              <w:rPr>
                <w:rFonts w:ascii="Trebuchet MS" w:eastAsia="Times New Roman" w:hAnsi="Trebuchet MS" w:cs="Times New Roman"/>
                <w:b/>
                <w:bCs/>
                <w:color w:val="555555"/>
                <w:sz w:val="18"/>
                <w:szCs w:val="18"/>
              </w:rPr>
              <w:br/>
              <w:t>74.00%</w:t>
            </w:r>
          </w:p>
        </w:tc>
        <w:tc>
          <w:tcPr>
            <w:tcW w:w="1935" w:type="dxa"/>
            <w:shd w:val="clear" w:color="auto" w:fill="FFFFFF"/>
            <w:tcMar>
              <w:top w:w="60" w:type="dxa"/>
              <w:left w:w="0" w:type="dxa"/>
              <w:bottom w:w="60" w:type="dxa"/>
              <w:right w:w="0" w:type="dxa"/>
            </w:tcMar>
            <w:vAlign w:val="center"/>
            <w:hideMark/>
          </w:tcPr>
          <w:p w:rsidR="004C1CF5" w:rsidRPr="004C1CF5" w:rsidRDefault="004C1CF5" w:rsidP="004C1CF5">
            <w:pPr>
              <w:spacing w:line="210" w:lineRule="atLeast"/>
              <w:jc w:val="center"/>
              <w:rPr>
                <w:rFonts w:ascii="Trebuchet MS" w:eastAsia="Times New Roman" w:hAnsi="Trebuchet MS" w:cs="Times New Roman"/>
                <w:b/>
                <w:bCs/>
                <w:color w:val="555555"/>
                <w:sz w:val="18"/>
                <w:szCs w:val="18"/>
              </w:rPr>
            </w:pPr>
            <w:r w:rsidRPr="004C1CF5">
              <w:rPr>
                <w:rFonts w:ascii="Trebuchet MS" w:eastAsia="Times New Roman" w:hAnsi="Trebuchet MS" w:cs="Times New Roman"/>
                <w:b/>
                <w:bCs/>
                <w:color w:val="555555"/>
                <w:sz w:val="18"/>
                <w:szCs w:val="18"/>
              </w:rPr>
              <w:t>3</w:t>
            </w:r>
            <w:r w:rsidRPr="004C1CF5">
              <w:rPr>
                <w:rFonts w:ascii="Trebuchet MS" w:eastAsia="Times New Roman" w:hAnsi="Trebuchet MS" w:cs="Times New Roman"/>
                <w:b/>
                <w:bCs/>
                <w:color w:val="555555"/>
                <w:sz w:val="18"/>
                <w:szCs w:val="18"/>
              </w:rPr>
              <w:br/>
              <w:t>Satisfactory</w:t>
            </w:r>
            <w:r w:rsidRPr="004C1CF5">
              <w:rPr>
                <w:rFonts w:ascii="Trebuchet MS" w:eastAsia="Times New Roman" w:hAnsi="Trebuchet MS" w:cs="Times New Roman"/>
                <w:b/>
                <w:bCs/>
                <w:color w:val="555555"/>
                <w:sz w:val="18"/>
                <w:szCs w:val="18"/>
              </w:rPr>
              <w:br/>
              <w:t>79.00%</w:t>
            </w:r>
          </w:p>
        </w:tc>
        <w:tc>
          <w:tcPr>
            <w:tcW w:w="1935" w:type="dxa"/>
            <w:shd w:val="clear" w:color="auto" w:fill="FFFFFF"/>
            <w:tcMar>
              <w:top w:w="60" w:type="dxa"/>
              <w:left w:w="0" w:type="dxa"/>
              <w:bottom w:w="60" w:type="dxa"/>
              <w:right w:w="0" w:type="dxa"/>
            </w:tcMar>
            <w:vAlign w:val="center"/>
            <w:hideMark/>
          </w:tcPr>
          <w:p w:rsidR="004C1CF5" w:rsidRPr="004C1CF5" w:rsidRDefault="004C1CF5" w:rsidP="004C1CF5">
            <w:pPr>
              <w:spacing w:line="210" w:lineRule="atLeast"/>
              <w:jc w:val="center"/>
              <w:rPr>
                <w:rFonts w:ascii="Trebuchet MS" w:eastAsia="Times New Roman" w:hAnsi="Trebuchet MS" w:cs="Times New Roman"/>
                <w:b/>
                <w:bCs/>
                <w:color w:val="555555"/>
                <w:sz w:val="18"/>
                <w:szCs w:val="18"/>
              </w:rPr>
            </w:pPr>
            <w:r w:rsidRPr="004C1CF5">
              <w:rPr>
                <w:rFonts w:ascii="Trebuchet MS" w:eastAsia="Times New Roman" w:hAnsi="Trebuchet MS" w:cs="Times New Roman"/>
                <w:b/>
                <w:bCs/>
                <w:color w:val="555555"/>
                <w:sz w:val="18"/>
                <w:szCs w:val="18"/>
              </w:rPr>
              <w:t>4</w:t>
            </w:r>
            <w:r w:rsidRPr="004C1CF5">
              <w:rPr>
                <w:rFonts w:ascii="Trebuchet MS" w:eastAsia="Times New Roman" w:hAnsi="Trebuchet MS" w:cs="Times New Roman"/>
                <w:b/>
                <w:bCs/>
                <w:color w:val="555555"/>
                <w:sz w:val="18"/>
                <w:szCs w:val="18"/>
              </w:rPr>
              <w:br/>
              <w:t>Good</w:t>
            </w:r>
            <w:r w:rsidRPr="004C1CF5">
              <w:rPr>
                <w:rFonts w:ascii="Trebuchet MS" w:eastAsia="Times New Roman" w:hAnsi="Trebuchet MS" w:cs="Times New Roman"/>
                <w:b/>
                <w:bCs/>
                <w:color w:val="555555"/>
                <w:sz w:val="18"/>
                <w:szCs w:val="18"/>
              </w:rPr>
              <w:br/>
              <w:t>87.00%</w:t>
            </w:r>
          </w:p>
        </w:tc>
        <w:tc>
          <w:tcPr>
            <w:tcW w:w="1935" w:type="dxa"/>
            <w:shd w:val="clear" w:color="auto" w:fill="FFFFFF"/>
            <w:tcMar>
              <w:top w:w="60" w:type="dxa"/>
              <w:left w:w="0" w:type="dxa"/>
              <w:bottom w:w="60" w:type="dxa"/>
              <w:right w:w="0" w:type="dxa"/>
            </w:tcMar>
            <w:vAlign w:val="center"/>
            <w:hideMark/>
          </w:tcPr>
          <w:p w:rsidR="004C1CF5" w:rsidRPr="004C1CF5" w:rsidRDefault="004C1CF5" w:rsidP="004C1CF5">
            <w:pPr>
              <w:spacing w:line="210" w:lineRule="atLeast"/>
              <w:jc w:val="center"/>
              <w:rPr>
                <w:rFonts w:ascii="Trebuchet MS" w:eastAsia="Times New Roman" w:hAnsi="Trebuchet MS" w:cs="Times New Roman"/>
                <w:b/>
                <w:bCs/>
                <w:color w:val="555555"/>
                <w:sz w:val="18"/>
                <w:szCs w:val="18"/>
              </w:rPr>
            </w:pPr>
            <w:r w:rsidRPr="004C1CF5">
              <w:rPr>
                <w:rFonts w:ascii="Trebuchet MS" w:eastAsia="Times New Roman" w:hAnsi="Trebuchet MS" w:cs="Times New Roman"/>
                <w:b/>
                <w:bCs/>
                <w:color w:val="555555"/>
                <w:sz w:val="18"/>
                <w:szCs w:val="18"/>
              </w:rPr>
              <w:t>5</w:t>
            </w:r>
            <w:r w:rsidRPr="004C1CF5">
              <w:rPr>
                <w:rFonts w:ascii="Trebuchet MS" w:eastAsia="Times New Roman" w:hAnsi="Trebuchet MS" w:cs="Times New Roman"/>
                <w:b/>
                <w:bCs/>
                <w:color w:val="555555"/>
                <w:sz w:val="18"/>
                <w:szCs w:val="18"/>
              </w:rPr>
              <w:br/>
              <w:t>Excellent</w:t>
            </w:r>
            <w:r w:rsidRPr="004C1CF5">
              <w:rPr>
                <w:rFonts w:ascii="Trebuchet MS" w:eastAsia="Times New Roman" w:hAnsi="Trebuchet MS" w:cs="Times New Roman"/>
                <w:b/>
                <w:bCs/>
                <w:color w:val="555555"/>
                <w:sz w:val="18"/>
                <w:szCs w:val="18"/>
              </w:rPr>
              <w:br/>
              <w:t>100.00%</w:t>
            </w:r>
          </w:p>
        </w:tc>
      </w:tr>
      <w:tr w:rsidR="004C1CF5" w:rsidRPr="004C1CF5" w:rsidTr="004C1CF5">
        <w:trPr>
          <w:tblCellSpacing w:w="0" w:type="dxa"/>
        </w:trPr>
        <w:tc>
          <w:tcPr>
            <w:tcW w:w="0" w:type="auto"/>
            <w:tcBorders>
              <w:top w:val="single" w:sz="6" w:space="0" w:color="9BC6DB"/>
              <w:left w:val="single" w:sz="6" w:space="0" w:color="9BC6DB"/>
              <w:bottom w:val="single" w:sz="6" w:space="0" w:color="9BC6DB"/>
              <w:right w:val="nil"/>
            </w:tcBorders>
            <w:shd w:val="clear" w:color="auto" w:fill="FFFFFF"/>
            <w:hideMark/>
          </w:tcPr>
          <w:p w:rsidR="004C1CF5" w:rsidRPr="004C1CF5" w:rsidRDefault="004C1CF5" w:rsidP="004C1CF5">
            <w:pPr>
              <w:spacing w:line="210" w:lineRule="atLeast"/>
              <w:rPr>
                <w:rFonts w:ascii="Trebuchet MS" w:eastAsia="Times New Roman" w:hAnsi="Trebuchet MS" w:cs="Times New Roman"/>
                <w:color w:val="555555"/>
                <w:sz w:val="18"/>
                <w:szCs w:val="18"/>
              </w:rPr>
            </w:pPr>
            <w:r w:rsidRPr="004C1CF5">
              <w:rPr>
                <w:rFonts w:ascii="Trebuchet MS" w:eastAsia="Times New Roman" w:hAnsi="Trebuchet MS" w:cs="Times New Roman"/>
                <w:b/>
                <w:bCs/>
                <w:color w:val="000000"/>
                <w:sz w:val="18"/>
              </w:rPr>
              <w:t>70.0 %Content</w:t>
            </w:r>
          </w:p>
        </w:tc>
        <w:tc>
          <w:tcPr>
            <w:tcW w:w="0" w:type="auto"/>
            <w:gridSpan w:val="6"/>
            <w:tcBorders>
              <w:top w:val="single" w:sz="6" w:space="0" w:color="9BC6DB"/>
              <w:left w:val="single" w:sz="6" w:space="0" w:color="9BC6DB"/>
              <w:bottom w:val="single" w:sz="6" w:space="0" w:color="9BC6DB"/>
              <w:right w:val="single" w:sz="6" w:space="0" w:color="9BC6DB"/>
            </w:tcBorders>
            <w:shd w:val="clear" w:color="auto" w:fill="FFFFFF"/>
            <w:vAlign w:val="center"/>
            <w:hideMark/>
          </w:tcPr>
          <w:p w:rsidR="004C1CF5" w:rsidRPr="004C1CF5" w:rsidRDefault="004C1CF5" w:rsidP="004C1CF5">
            <w:pPr>
              <w:spacing w:line="210" w:lineRule="atLeast"/>
              <w:jc w:val="center"/>
              <w:rPr>
                <w:rFonts w:ascii="Trebuchet MS" w:eastAsia="Times New Roman" w:hAnsi="Trebuchet MS" w:cs="Times New Roman"/>
                <w:b/>
                <w:bCs/>
                <w:color w:val="000000"/>
                <w:sz w:val="18"/>
                <w:szCs w:val="18"/>
              </w:rPr>
            </w:pPr>
            <w:r w:rsidRPr="004C1CF5">
              <w:rPr>
                <w:rFonts w:ascii="Trebuchet MS" w:eastAsia="Times New Roman" w:hAnsi="Trebuchet MS" w:cs="Times New Roman"/>
                <w:b/>
                <w:bCs/>
                <w:color w:val="000000"/>
                <w:sz w:val="18"/>
                <w:szCs w:val="18"/>
              </w:rPr>
              <w:t> </w:t>
            </w:r>
          </w:p>
        </w:tc>
      </w:tr>
      <w:tr w:rsidR="004C1CF5" w:rsidRPr="004C1CF5" w:rsidTr="004C1CF5">
        <w:trPr>
          <w:tblCellSpacing w:w="0" w:type="dxa"/>
        </w:trPr>
        <w:tc>
          <w:tcPr>
            <w:tcW w:w="0" w:type="auto"/>
            <w:tcBorders>
              <w:left w:val="single" w:sz="6" w:space="0" w:color="D0D0D0"/>
              <w:bottom w:val="single" w:sz="6" w:space="0" w:color="D0D0D0"/>
            </w:tcBorders>
            <w:shd w:val="clear" w:color="auto" w:fill="F6F6F6"/>
            <w:hideMark/>
          </w:tcPr>
          <w:p w:rsidR="004C1CF5" w:rsidRPr="004C1CF5" w:rsidRDefault="004C1CF5" w:rsidP="004C1CF5">
            <w:pPr>
              <w:spacing w:line="210" w:lineRule="atLeast"/>
              <w:rPr>
                <w:rFonts w:ascii="Trebuchet MS" w:eastAsia="Times New Roman" w:hAnsi="Trebuchet MS" w:cs="Times New Roman"/>
                <w:color w:val="555555"/>
                <w:sz w:val="18"/>
                <w:szCs w:val="18"/>
              </w:rPr>
            </w:pPr>
            <w:r w:rsidRPr="004C1CF5">
              <w:rPr>
                <w:rFonts w:ascii="Trebuchet MS" w:eastAsia="Times New Roman" w:hAnsi="Trebuchet MS" w:cs="Times New Roman"/>
                <w:b/>
                <w:bCs/>
                <w:color w:val="000000"/>
                <w:sz w:val="18"/>
              </w:rPr>
              <w:t>20.0 %Sales and Operations Planning</w:t>
            </w:r>
          </w:p>
        </w:tc>
        <w:tc>
          <w:tcPr>
            <w:tcW w:w="0" w:type="auto"/>
            <w:tcBorders>
              <w:left w:val="single" w:sz="6" w:space="0" w:color="D0D0D0"/>
              <w:bottom w:val="single" w:sz="6" w:space="0" w:color="D0D0D0"/>
            </w:tcBorders>
            <w:shd w:val="clear" w:color="auto" w:fill="FFFFFF"/>
            <w:hideMark/>
          </w:tcPr>
          <w:p w:rsidR="004C1CF5" w:rsidRPr="004C1CF5" w:rsidRDefault="004C1CF5" w:rsidP="004C1CF5">
            <w:pPr>
              <w:spacing w:line="210" w:lineRule="atLeast"/>
              <w:rPr>
                <w:rFonts w:ascii="Trebuchet MS" w:eastAsia="Times New Roman" w:hAnsi="Trebuchet MS" w:cs="Times New Roman"/>
                <w:color w:val="555555"/>
                <w:sz w:val="18"/>
                <w:szCs w:val="18"/>
              </w:rPr>
            </w:pPr>
            <w:r w:rsidRPr="004C1CF5">
              <w:rPr>
                <w:rFonts w:ascii="Trebuchet MS" w:eastAsia="Times New Roman" w:hAnsi="Trebuchet MS" w:cs="Times New Roman"/>
                <w:color w:val="555555"/>
                <w:sz w:val="18"/>
                <w:szCs w:val="18"/>
              </w:rPr>
              <w:t>An explanation of how operations planning in the supply chain integration impacts the company overall is absent, inappropriate, or irrelevant. An explanation of how medium and long-term forecasting informs the operations management department is absent, inappropriate, or irrelevant. An explanation of how logistics, transportation modes, and warehouse locations impact competitiveness is absent, inappropriate, or irrelevant.</w:t>
            </w:r>
          </w:p>
        </w:tc>
        <w:tc>
          <w:tcPr>
            <w:tcW w:w="0" w:type="auto"/>
            <w:tcBorders>
              <w:left w:val="single" w:sz="6" w:space="0" w:color="D0D0D0"/>
              <w:bottom w:val="single" w:sz="6" w:space="0" w:color="D0D0D0"/>
            </w:tcBorders>
            <w:shd w:val="clear" w:color="auto" w:fill="FFFFFF"/>
            <w:hideMark/>
          </w:tcPr>
          <w:p w:rsidR="004C1CF5" w:rsidRPr="004C1CF5" w:rsidRDefault="004C1CF5" w:rsidP="004C1CF5">
            <w:pPr>
              <w:spacing w:line="210" w:lineRule="atLeast"/>
              <w:rPr>
                <w:rFonts w:ascii="Trebuchet MS" w:eastAsia="Times New Roman" w:hAnsi="Trebuchet MS" w:cs="Times New Roman"/>
                <w:color w:val="555555"/>
                <w:sz w:val="18"/>
                <w:szCs w:val="18"/>
              </w:rPr>
            </w:pPr>
            <w:r w:rsidRPr="004C1CF5">
              <w:rPr>
                <w:rFonts w:ascii="Trebuchet MS" w:eastAsia="Times New Roman" w:hAnsi="Trebuchet MS" w:cs="Times New Roman"/>
                <w:color w:val="555555"/>
                <w:sz w:val="18"/>
                <w:szCs w:val="18"/>
              </w:rPr>
              <w:t>An explanation of how operations planning in the supply chain integration impacts the company overall is weak or marginal with gaps. An explanation of how medium and long-term forecasting informs the operations management department is unsubstantiated. An explanation of how logistics, transportation modes, and warehouse locations impact competitiveness is unclear and illogical. Supporting sources show very limited understanding of the content.</w:t>
            </w:r>
          </w:p>
        </w:tc>
        <w:tc>
          <w:tcPr>
            <w:tcW w:w="0" w:type="auto"/>
            <w:tcBorders>
              <w:left w:val="single" w:sz="6" w:space="0" w:color="D0D0D0"/>
              <w:bottom w:val="single" w:sz="6" w:space="0" w:color="D0D0D0"/>
            </w:tcBorders>
            <w:shd w:val="clear" w:color="auto" w:fill="FFFFFF"/>
            <w:hideMark/>
          </w:tcPr>
          <w:p w:rsidR="004C1CF5" w:rsidRPr="004C1CF5" w:rsidRDefault="004C1CF5" w:rsidP="004C1CF5">
            <w:pPr>
              <w:spacing w:line="210" w:lineRule="atLeast"/>
              <w:rPr>
                <w:rFonts w:ascii="Trebuchet MS" w:eastAsia="Times New Roman" w:hAnsi="Trebuchet MS" w:cs="Times New Roman"/>
                <w:color w:val="555555"/>
                <w:sz w:val="18"/>
                <w:szCs w:val="18"/>
              </w:rPr>
            </w:pPr>
            <w:r w:rsidRPr="004C1CF5">
              <w:rPr>
                <w:rFonts w:ascii="Trebuchet MS" w:eastAsia="Times New Roman" w:hAnsi="Trebuchet MS" w:cs="Times New Roman"/>
                <w:color w:val="555555"/>
                <w:sz w:val="18"/>
                <w:szCs w:val="18"/>
              </w:rPr>
              <w:t>An explanation of how operations planning in the supply chain integration impacts the company overall makes connections at a cursory level and contains minimal gaps. An explanation of how medium and long-term forecasting informs the operations management department is substantiated but lacks detail. An explanation of how logistics, transportation modes, and warehouses locations impact competitiveness is clear and logical. Supporting sources show some understanding of the content.</w:t>
            </w:r>
          </w:p>
        </w:tc>
        <w:tc>
          <w:tcPr>
            <w:tcW w:w="0" w:type="auto"/>
            <w:tcBorders>
              <w:left w:val="single" w:sz="6" w:space="0" w:color="D0D0D0"/>
              <w:bottom w:val="single" w:sz="6" w:space="0" w:color="D0D0D0"/>
            </w:tcBorders>
            <w:shd w:val="clear" w:color="auto" w:fill="FFFFFF"/>
            <w:hideMark/>
          </w:tcPr>
          <w:p w:rsidR="004C1CF5" w:rsidRPr="004C1CF5" w:rsidRDefault="004C1CF5" w:rsidP="004C1CF5">
            <w:pPr>
              <w:spacing w:line="210" w:lineRule="atLeast"/>
              <w:rPr>
                <w:rFonts w:ascii="Trebuchet MS" w:eastAsia="Times New Roman" w:hAnsi="Trebuchet MS" w:cs="Times New Roman"/>
                <w:color w:val="555555"/>
                <w:sz w:val="18"/>
                <w:szCs w:val="18"/>
              </w:rPr>
            </w:pPr>
            <w:r w:rsidRPr="004C1CF5">
              <w:rPr>
                <w:rFonts w:ascii="Trebuchet MS" w:eastAsia="Times New Roman" w:hAnsi="Trebuchet MS" w:cs="Times New Roman"/>
                <w:color w:val="555555"/>
                <w:sz w:val="18"/>
                <w:szCs w:val="18"/>
              </w:rPr>
              <w:t>An explanation of how operations planning in the supply chain integration impacts the company overall makes meaningful connections and contains no gaps. An explanation of how medium and long-term forecasting informs the operations management department is substantiated with appropriate detail. An explanation of how logistics, transportation modes, and warehouse locations impact competitiveness is clear, concise, and logical. Supporting sources show an informed understanding of the content.</w:t>
            </w:r>
          </w:p>
        </w:tc>
        <w:tc>
          <w:tcPr>
            <w:tcW w:w="0" w:type="auto"/>
            <w:tcBorders>
              <w:left w:val="single" w:sz="6" w:space="0" w:color="D0D0D0"/>
              <w:bottom w:val="single" w:sz="6" w:space="0" w:color="D0D0D0"/>
            </w:tcBorders>
            <w:shd w:val="clear" w:color="auto" w:fill="FFFFFF"/>
            <w:hideMark/>
          </w:tcPr>
          <w:p w:rsidR="004C1CF5" w:rsidRPr="004C1CF5" w:rsidRDefault="004C1CF5" w:rsidP="004C1CF5">
            <w:pPr>
              <w:spacing w:line="210" w:lineRule="atLeast"/>
              <w:rPr>
                <w:rFonts w:ascii="Trebuchet MS" w:eastAsia="Times New Roman" w:hAnsi="Trebuchet MS" w:cs="Times New Roman"/>
                <w:color w:val="555555"/>
                <w:sz w:val="18"/>
                <w:szCs w:val="18"/>
              </w:rPr>
            </w:pPr>
            <w:r w:rsidRPr="004C1CF5">
              <w:rPr>
                <w:rFonts w:ascii="Trebuchet MS" w:eastAsia="Times New Roman" w:hAnsi="Trebuchet MS" w:cs="Times New Roman"/>
                <w:color w:val="555555"/>
                <w:sz w:val="18"/>
                <w:szCs w:val="18"/>
              </w:rPr>
              <w:t>An explanation of how operations planning in the supply chain integration impacts the company overall makes meaningful connections that are clear, concise, and integrated. An explanation of how medium and long-term forecasting informs the operations management department is substantiated with acute detail. An explanation of how logistics, transportation modes, and warehouse locations impact competitiveness is clear and logical and illustrates an understanding of the content. Supporting sources show a deep understanding of the content.</w:t>
            </w:r>
          </w:p>
        </w:tc>
        <w:tc>
          <w:tcPr>
            <w:tcW w:w="0" w:type="auto"/>
            <w:shd w:val="clear" w:color="auto" w:fill="FFFFFF"/>
            <w:vAlign w:val="center"/>
            <w:hideMark/>
          </w:tcPr>
          <w:p w:rsidR="004C1CF5" w:rsidRPr="004C1CF5" w:rsidRDefault="004C1CF5" w:rsidP="004C1CF5">
            <w:pPr>
              <w:rPr>
                <w:rFonts w:ascii="Times New Roman" w:eastAsia="Times New Roman" w:hAnsi="Times New Roman" w:cs="Times New Roman"/>
                <w:sz w:val="20"/>
                <w:szCs w:val="20"/>
              </w:rPr>
            </w:pPr>
          </w:p>
        </w:tc>
      </w:tr>
      <w:tr w:rsidR="004C1CF5" w:rsidRPr="004C1CF5" w:rsidTr="004C1CF5">
        <w:trPr>
          <w:tblCellSpacing w:w="0" w:type="dxa"/>
        </w:trPr>
        <w:tc>
          <w:tcPr>
            <w:tcW w:w="0" w:type="auto"/>
            <w:tcBorders>
              <w:left w:val="single" w:sz="6" w:space="0" w:color="D0D0D0"/>
              <w:bottom w:val="single" w:sz="6" w:space="0" w:color="D0D0D0"/>
            </w:tcBorders>
            <w:shd w:val="clear" w:color="auto" w:fill="F6F6F6"/>
            <w:hideMark/>
          </w:tcPr>
          <w:p w:rsidR="004C1CF5" w:rsidRPr="004C1CF5" w:rsidRDefault="004C1CF5" w:rsidP="004C1CF5">
            <w:pPr>
              <w:spacing w:line="210" w:lineRule="atLeast"/>
              <w:rPr>
                <w:rFonts w:ascii="Trebuchet MS" w:eastAsia="Times New Roman" w:hAnsi="Trebuchet MS" w:cs="Times New Roman"/>
                <w:color w:val="555555"/>
                <w:sz w:val="18"/>
                <w:szCs w:val="18"/>
              </w:rPr>
            </w:pPr>
            <w:r w:rsidRPr="004C1CF5">
              <w:rPr>
                <w:rFonts w:ascii="Trebuchet MS" w:eastAsia="Times New Roman" w:hAnsi="Trebuchet MS" w:cs="Times New Roman"/>
                <w:b/>
                <w:bCs/>
                <w:color w:val="000000"/>
                <w:sz w:val="18"/>
              </w:rPr>
              <w:t>20.0 %Global Sourcing and Procurement</w:t>
            </w:r>
          </w:p>
        </w:tc>
        <w:tc>
          <w:tcPr>
            <w:tcW w:w="0" w:type="auto"/>
            <w:tcBorders>
              <w:left w:val="single" w:sz="6" w:space="0" w:color="D0D0D0"/>
              <w:bottom w:val="single" w:sz="6" w:space="0" w:color="D0D0D0"/>
            </w:tcBorders>
            <w:shd w:val="clear" w:color="auto" w:fill="FFFFFF"/>
            <w:hideMark/>
          </w:tcPr>
          <w:p w:rsidR="004C1CF5" w:rsidRPr="004C1CF5" w:rsidRDefault="004C1CF5" w:rsidP="004C1CF5">
            <w:pPr>
              <w:spacing w:line="210" w:lineRule="atLeast"/>
              <w:rPr>
                <w:rFonts w:ascii="Trebuchet MS" w:eastAsia="Times New Roman" w:hAnsi="Trebuchet MS" w:cs="Times New Roman"/>
                <w:color w:val="555555"/>
                <w:sz w:val="18"/>
                <w:szCs w:val="18"/>
              </w:rPr>
            </w:pPr>
            <w:r w:rsidRPr="004C1CF5">
              <w:rPr>
                <w:rFonts w:ascii="Trebuchet MS" w:eastAsia="Times New Roman" w:hAnsi="Trebuchet MS" w:cs="Times New Roman"/>
                <w:color w:val="555555"/>
                <w:sz w:val="18"/>
                <w:szCs w:val="18"/>
              </w:rPr>
              <w:t>An explanation on how global sourcing and procurement impact the overall effectiveness of the supply chain is absent, inappropriate, or irrelevant. An explanation of benefits and challenges that have occurred when logistics and other functions have been outsourced is absent, inappropriate, or irrelevant.</w:t>
            </w:r>
          </w:p>
        </w:tc>
        <w:tc>
          <w:tcPr>
            <w:tcW w:w="0" w:type="auto"/>
            <w:tcBorders>
              <w:left w:val="single" w:sz="6" w:space="0" w:color="D0D0D0"/>
              <w:bottom w:val="single" w:sz="6" w:space="0" w:color="D0D0D0"/>
            </w:tcBorders>
            <w:shd w:val="clear" w:color="auto" w:fill="FFFFFF"/>
            <w:hideMark/>
          </w:tcPr>
          <w:p w:rsidR="004C1CF5" w:rsidRPr="004C1CF5" w:rsidRDefault="004C1CF5" w:rsidP="004C1CF5">
            <w:pPr>
              <w:spacing w:line="210" w:lineRule="atLeast"/>
              <w:rPr>
                <w:rFonts w:ascii="Trebuchet MS" w:eastAsia="Times New Roman" w:hAnsi="Trebuchet MS" w:cs="Times New Roman"/>
                <w:color w:val="555555"/>
                <w:sz w:val="18"/>
                <w:szCs w:val="18"/>
              </w:rPr>
            </w:pPr>
            <w:r w:rsidRPr="004C1CF5">
              <w:rPr>
                <w:rFonts w:ascii="Trebuchet MS" w:eastAsia="Times New Roman" w:hAnsi="Trebuchet MS" w:cs="Times New Roman"/>
                <w:color w:val="555555"/>
                <w:sz w:val="18"/>
                <w:szCs w:val="18"/>
              </w:rPr>
              <w:t xml:space="preserve">An explanation on how global sourcing and procurement impact the overall effectiveness of the supply chain is weak or marginal with gaps. An explanation of benefits and challenges that have occurred when logistics and other functions have been outsourced is unclear and illogical. Supporting sources show very limited understanding of the </w:t>
            </w:r>
            <w:r w:rsidRPr="004C1CF5">
              <w:rPr>
                <w:rFonts w:ascii="Trebuchet MS" w:eastAsia="Times New Roman" w:hAnsi="Trebuchet MS" w:cs="Times New Roman"/>
                <w:color w:val="555555"/>
                <w:sz w:val="18"/>
                <w:szCs w:val="18"/>
              </w:rPr>
              <w:lastRenderedPageBreak/>
              <w:t>content.</w:t>
            </w:r>
          </w:p>
        </w:tc>
        <w:tc>
          <w:tcPr>
            <w:tcW w:w="0" w:type="auto"/>
            <w:tcBorders>
              <w:left w:val="single" w:sz="6" w:space="0" w:color="D0D0D0"/>
              <w:bottom w:val="single" w:sz="6" w:space="0" w:color="D0D0D0"/>
            </w:tcBorders>
            <w:shd w:val="clear" w:color="auto" w:fill="FFFFFF"/>
            <w:hideMark/>
          </w:tcPr>
          <w:p w:rsidR="004C1CF5" w:rsidRPr="004C1CF5" w:rsidRDefault="004C1CF5" w:rsidP="004C1CF5">
            <w:pPr>
              <w:spacing w:line="210" w:lineRule="atLeast"/>
              <w:rPr>
                <w:rFonts w:ascii="Trebuchet MS" w:eastAsia="Times New Roman" w:hAnsi="Trebuchet MS" w:cs="Times New Roman"/>
                <w:color w:val="555555"/>
                <w:sz w:val="18"/>
                <w:szCs w:val="18"/>
              </w:rPr>
            </w:pPr>
            <w:r w:rsidRPr="004C1CF5">
              <w:rPr>
                <w:rFonts w:ascii="Trebuchet MS" w:eastAsia="Times New Roman" w:hAnsi="Trebuchet MS" w:cs="Times New Roman"/>
                <w:color w:val="555555"/>
                <w:sz w:val="18"/>
                <w:szCs w:val="18"/>
              </w:rPr>
              <w:lastRenderedPageBreak/>
              <w:t xml:space="preserve">An explanation on how global sourcing and procurement impact the overall effectiveness of the supply chain makes connections at a cursory level and contains minimal gaps. An explanation of benefits and challenges that have occurred when logistics and other functions have been outsourced is clear and logical. Supporting sources </w:t>
            </w:r>
            <w:r w:rsidRPr="004C1CF5">
              <w:rPr>
                <w:rFonts w:ascii="Trebuchet MS" w:eastAsia="Times New Roman" w:hAnsi="Trebuchet MS" w:cs="Times New Roman"/>
                <w:color w:val="555555"/>
                <w:sz w:val="18"/>
                <w:szCs w:val="18"/>
              </w:rPr>
              <w:lastRenderedPageBreak/>
              <w:t>show some understanding of the content.</w:t>
            </w:r>
          </w:p>
        </w:tc>
        <w:tc>
          <w:tcPr>
            <w:tcW w:w="0" w:type="auto"/>
            <w:tcBorders>
              <w:left w:val="single" w:sz="6" w:space="0" w:color="D0D0D0"/>
              <w:bottom w:val="single" w:sz="6" w:space="0" w:color="D0D0D0"/>
            </w:tcBorders>
            <w:shd w:val="clear" w:color="auto" w:fill="FFFFFF"/>
            <w:hideMark/>
          </w:tcPr>
          <w:p w:rsidR="004C1CF5" w:rsidRPr="004C1CF5" w:rsidRDefault="004C1CF5" w:rsidP="004C1CF5">
            <w:pPr>
              <w:spacing w:line="210" w:lineRule="atLeast"/>
              <w:rPr>
                <w:rFonts w:ascii="Trebuchet MS" w:eastAsia="Times New Roman" w:hAnsi="Trebuchet MS" w:cs="Times New Roman"/>
                <w:color w:val="555555"/>
                <w:sz w:val="18"/>
                <w:szCs w:val="18"/>
              </w:rPr>
            </w:pPr>
            <w:r w:rsidRPr="004C1CF5">
              <w:rPr>
                <w:rFonts w:ascii="Trebuchet MS" w:eastAsia="Times New Roman" w:hAnsi="Trebuchet MS" w:cs="Times New Roman"/>
                <w:color w:val="555555"/>
                <w:sz w:val="18"/>
                <w:szCs w:val="18"/>
              </w:rPr>
              <w:lastRenderedPageBreak/>
              <w:t xml:space="preserve">An explanation on how global sourcing and procurement impact the overall effectiveness of the supply chain makes meaningful connections and contains no gaps. An explanation of benefits and challenges that have occurred when logistics and other functions have been outsourced is clear, concise, and logical. Supporting sources show an </w:t>
            </w:r>
            <w:r w:rsidRPr="004C1CF5">
              <w:rPr>
                <w:rFonts w:ascii="Trebuchet MS" w:eastAsia="Times New Roman" w:hAnsi="Trebuchet MS" w:cs="Times New Roman"/>
                <w:color w:val="555555"/>
                <w:sz w:val="18"/>
                <w:szCs w:val="18"/>
              </w:rPr>
              <w:lastRenderedPageBreak/>
              <w:t>informed understanding of the content.</w:t>
            </w:r>
          </w:p>
        </w:tc>
        <w:tc>
          <w:tcPr>
            <w:tcW w:w="0" w:type="auto"/>
            <w:tcBorders>
              <w:left w:val="single" w:sz="6" w:space="0" w:color="D0D0D0"/>
              <w:bottom w:val="single" w:sz="6" w:space="0" w:color="D0D0D0"/>
            </w:tcBorders>
            <w:shd w:val="clear" w:color="auto" w:fill="FFFFFF"/>
            <w:hideMark/>
          </w:tcPr>
          <w:p w:rsidR="004C1CF5" w:rsidRPr="004C1CF5" w:rsidRDefault="004C1CF5" w:rsidP="004C1CF5">
            <w:pPr>
              <w:spacing w:line="210" w:lineRule="atLeast"/>
              <w:rPr>
                <w:rFonts w:ascii="Trebuchet MS" w:eastAsia="Times New Roman" w:hAnsi="Trebuchet MS" w:cs="Times New Roman"/>
                <w:color w:val="555555"/>
                <w:sz w:val="18"/>
                <w:szCs w:val="18"/>
              </w:rPr>
            </w:pPr>
            <w:r w:rsidRPr="004C1CF5">
              <w:rPr>
                <w:rFonts w:ascii="Trebuchet MS" w:eastAsia="Times New Roman" w:hAnsi="Trebuchet MS" w:cs="Times New Roman"/>
                <w:color w:val="555555"/>
                <w:sz w:val="18"/>
                <w:szCs w:val="18"/>
              </w:rPr>
              <w:lastRenderedPageBreak/>
              <w:t xml:space="preserve">An explanation on how global sourcing and procurement impact the overall effectiveness of the supply chain makes meaningful connections that are clear, concise, and integrated. An explanation of benefits and challenges that have occurred when logistics and other functions have been outsourced is clear and logical and illustrates </w:t>
            </w:r>
            <w:r w:rsidRPr="004C1CF5">
              <w:rPr>
                <w:rFonts w:ascii="Trebuchet MS" w:eastAsia="Times New Roman" w:hAnsi="Trebuchet MS" w:cs="Times New Roman"/>
                <w:color w:val="555555"/>
                <w:sz w:val="18"/>
                <w:szCs w:val="18"/>
              </w:rPr>
              <w:lastRenderedPageBreak/>
              <w:t>an understanding of the content. Supporting sources show a deep understanding of the content.</w:t>
            </w:r>
          </w:p>
        </w:tc>
        <w:tc>
          <w:tcPr>
            <w:tcW w:w="0" w:type="auto"/>
            <w:shd w:val="clear" w:color="auto" w:fill="FFFFFF"/>
            <w:vAlign w:val="center"/>
            <w:hideMark/>
          </w:tcPr>
          <w:p w:rsidR="004C1CF5" w:rsidRPr="004C1CF5" w:rsidRDefault="004C1CF5" w:rsidP="004C1CF5">
            <w:pPr>
              <w:rPr>
                <w:rFonts w:ascii="Times New Roman" w:eastAsia="Times New Roman" w:hAnsi="Times New Roman" w:cs="Times New Roman"/>
                <w:sz w:val="20"/>
                <w:szCs w:val="20"/>
              </w:rPr>
            </w:pPr>
          </w:p>
        </w:tc>
      </w:tr>
      <w:tr w:rsidR="004C1CF5" w:rsidRPr="004C1CF5" w:rsidTr="004C1CF5">
        <w:trPr>
          <w:tblCellSpacing w:w="0" w:type="dxa"/>
        </w:trPr>
        <w:tc>
          <w:tcPr>
            <w:tcW w:w="0" w:type="auto"/>
            <w:tcBorders>
              <w:left w:val="single" w:sz="6" w:space="0" w:color="D0D0D0"/>
              <w:bottom w:val="single" w:sz="6" w:space="0" w:color="D0D0D0"/>
            </w:tcBorders>
            <w:shd w:val="clear" w:color="auto" w:fill="F6F6F6"/>
            <w:hideMark/>
          </w:tcPr>
          <w:p w:rsidR="004C1CF5" w:rsidRPr="004C1CF5" w:rsidRDefault="004C1CF5" w:rsidP="004C1CF5">
            <w:pPr>
              <w:spacing w:line="210" w:lineRule="atLeast"/>
              <w:rPr>
                <w:rFonts w:ascii="Trebuchet MS" w:eastAsia="Times New Roman" w:hAnsi="Trebuchet MS" w:cs="Times New Roman"/>
                <w:color w:val="555555"/>
                <w:sz w:val="18"/>
                <w:szCs w:val="18"/>
              </w:rPr>
            </w:pPr>
            <w:r w:rsidRPr="004C1CF5">
              <w:rPr>
                <w:rFonts w:ascii="Trebuchet MS" w:eastAsia="Times New Roman" w:hAnsi="Trebuchet MS" w:cs="Times New Roman"/>
                <w:b/>
                <w:bCs/>
                <w:color w:val="000000"/>
                <w:sz w:val="18"/>
              </w:rPr>
              <w:lastRenderedPageBreak/>
              <w:t>20.0 %E-Commerce</w:t>
            </w:r>
          </w:p>
        </w:tc>
        <w:tc>
          <w:tcPr>
            <w:tcW w:w="0" w:type="auto"/>
            <w:tcBorders>
              <w:left w:val="single" w:sz="6" w:space="0" w:color="D0D0D0"/>
              <w:bottom w:val="single" w:sz="6" w:space="0" w:color="D0D0D0"/>
            </w:tcBorders>
            <w:shd w:val="clear" w:color="auto" w:fill="FFFFFF"/>
            <w:hideMark/>
          </w:tcPr>
          <w:p w:rsidR="004C1CF5" w:rsidRPr="004C1CF5" w:rsidRDefault="004C1CF5" w:rsidP="004C1CF5">
            <w:pPr>
              <w:spacing w:line="210" w:lineRule="atLeast"/>
              <w:rPr>
                <w:rFonts w:ascii="Trebuchet MS" w:eastAsia="Times New Roman" w:hAnsi="Trebuchet MS" w:cs="Times New Roman"/>
                <w:color w:val="555555"/>
                <w:sz w:val="18"/>
                <w:szCs w:val="18"/>
              </w:rPr>
            </w:pPr>
            <w:r w:rsidRPr="004C1CF5">
              <w:rPr>
                <w:rFonts w:ascii="Trebuchet MS" w:eastAsia="Times New Roman" w:hAnsi="Trebuchet MS" w:cs="Times New Roman"/>
                <w:color w:val="555555"/>
                <w:sz w:val="18"/>
                <w:szCs w:val="18"/>
              </w:rPr>
              <w:t>An explanation of how Amazon successfully leverages e-commerce strategies to promote supply chain integration and boost sales growth for the organization is absent, inappropriate, or irrelevant. An explanation of which strategies are particularly effective is absent, inappropriate, or irrelevant.</w:t>
            </w:r>
          </w:p>
        </w:tc>
        <w:tc>
          <w:tcPr>
            <w:tcW w:w="0" w:type="auto"/>
            <w:tcBorders>
              <w:left w:val="single" w:sz="6" w:space="0" w:color="D0D0D0"/>
              <w:bottom w:val="single" w:sz="6" w:space="0" w:color="D0D0D0"/>
            </w:tcBorders>
            <w:shd w:val="clear" w:color="auto" w:fill="FFFFFF"/>
            <w:hideMark/>
          </w:tcPr>
          <w:p w:rsidR="004C1CF5" w:rsidRPr="004C1CF5" w:rsidRDefault="004C1CF5" w:rsidP="004C1CF5">
            <w:pPr>
              <w:spacing w:line="210" w:lineRule="atLeast"/>
              <w:rPr>
                <w:rFonts w:ascii="Trebuchet MS" w:eastAsia="Times New Roman" w:hAnsi="Trebuchet MS" w:cs="Times New Roman"/>
                <w:color w:val="555555"/>
                <w:sz w:val="18"/>
                <w:szCs w:val="18"/>
              </w:rPr>
            </w:pPr>
            <w:r w:rsidRPr="004C1CF5">
              <w:rPr>
                <w:rFonts w:ascii="Trebuchet MS" w:eastAsia="Times New Roman" w:hAnsi="Trebuchet MS" w:cs="Times New Roman"/>
                <w:color w:val="555555"/>
                <w:sz w:val="18"/>
                <w:szCs w:val="18"/>
              </w:rPr>
              <w:t>An explanation of how Amazon successfully leverages e-commerce strategies to promote supply chain integration and boost sales growth for the organization is weak or marginal with gaps. An explanation of which strategies are particularly effective is unsubstantiated. Supporting sources show very limited understanding of the content.</w:t>
            </w:r>
          </w:p>
        </w:tc>
        <w:tc>
          <w:tcPr>
            <w:tcW w:w="0" w:type="auto"/>
            <w:tcBorders>
              <w:left w:val="single" w:sz="6" w:space="0" w:color="D0D0D0"/>
              <w:bottom w:val="single" w:sz="6" w:space="0" w:color="D0D0D0"/>
            </w:tcBorders>
            <w:shd w:val="clear" w:color="auto" w:fill="FFFFFF"/>
            <w:hideMark/>
          </w:tcPr>
          <w:p w:rsidR="004C1CF5" w:rsidRPr="004C1CF5" w:rsidRDefault="004C1CF5" w:rsidP="004C1CF5">
            <w:pPr>
              <w:spacing w:line="210" w:lineRule="atLeast"/>
              <w:rPr>
                <w:rFonts w:ascii="Trebuchet MS" w:eastAsia="Times New Roman" w:hAnsi="Trebuchet MS" w:cs="Times New Roman"/>
                <w:color w:val="555555"/>
                <w:sz w:val="18"/>
                <w:szCs w:val="18"/>
              </w:rPr>
            </w:pPr>
            <w:r w:rsidRPr="004C1CF5">
              <w:rPr>
                <w:rFonts w:ascii="Trebuchet MS" w:eastAsia="Times New Roman" w:hAnsi="Trebuchet MS" w:cs="Times New Roman"/>
                <w:color w:val="555555"/>
                <w:sz w:val="18"/>
                <w:szCs w:val="18"/>
              </w:rPr>
              <w:t>An explanation of how Amazon successfully leverages e-commerce strategies to promote supply chain integration and boost sales growth for the organization makes connections at a cursory level and contains minimal gaps. An explanation of which strategies are particularly effective is substantiated but lacks detail. Supporting sources show some understanding of the content.</w:t>
            </w:r>
          </w:p>
        </w:tc>
        <w:tc>
          <w:tcPr>
            <w:tcW w:w="0" w:type="auto"/>
            <w:tcBorders>
              <w:left w:val="single" w:sz="6" w:space="0" w:color="D0D0D0"/>
              <w:bottom w:val="single" w:sz="6" w:space="0" w:color="D0D0D0"/>
            </w:tcBorders>
            <w:shd w:val="clear" w:color="auto" w:fill="FFFFFF"/>
            <w:hideMark/>
          </w:tcPr>
          <w:p w:rsidR="004C1CF5" w:rsidRPr="004C1CF5" w:rsidRDefault="004C1CF5" w:rsidP="004C1CF5">
            <w:pPr>
              <w:spacing w:line="210" w:lineRule="atLeast"/>
              <w:rPr>
                <w:rFonts w:ascii="Trebuchet MS" w:eastAsia="Times New Roman" w:hAnsi="Trebuchet MS" w:cs="Times New Roman"/>
                <w:color w:val="555555"/>
                <w:sz w:val="18"/>
                <w:szCs w:val="18"/>
              </w:rPr>
            </w:pPr>
            <w:r w:rsidRPr="004C1CF5">
              <w:rPr>
                <w:rFonts w:ascii="Trebuchet MS" w:eastAsia="Times New Roman" w:hAnsi="Trebuchet MS" w:cs="Times New Roman"/>
                <w:color w:val="555555"/>
                <w:sz w:val="18"/>
                <w:szCs w:val="18"/>
              </w:rPr>
              <w:t>An explanation of how Amazon successfully leverages e-commerce strategies to promote supply chain integration and boost sales growth for the organization makes meaningful connections and contains no gaps. An explanation of which strategies are particularly effective is substantiated with appropriate, clear, logical detail. Supporting sources show an informed understanding of the content.</w:t>
            </w:r>
          </w:p>
        </w:tc>
        <w:tc>
          <w:tcPr>
            <w:tcW w:w="0" w:type="auto"/>
            <w:tcBorders>
              <w:left w:val="single" w:sz="6" w:space="0" w:color="D0D0D0"/>
              <w:bottom w:val="single" w:sz="6" w:space="0" w:color="D0D0D0"/>
            </w:tcBorders>
            <w:shd w:val="clear" w:color="auto" w:fill="FFFFFF"/>
            <w:hideMark/>
          </w:tcPr>
          <w:p w:rsidR="004C1CF5" w:rsidRPr="004C1CF5" w:rsidRDefault="004C1CF5" w:rsidP="004C1CF5">
            <w:pPr>
              <w:spacing w:line="210" w:lineRule="atLeast"/>
              <w:rPr>
                <w:rFonts w:ascii="Trebuchet MS" w:eastAsia="Times New Roman" w:hAnsi="Trebuchet MS" w:cs="Times New Roman"/>
                <w:color w:val="555555"/>
                <w:sz w:val="18"/>
                <w:szCs w:val="18"/>
              </w:rPr>
            </w:pPr>
            <w:r w:rsidRPr="004C1CF5">
              <w:rPr>
                <w:rFonts w:ascii="Trebuchet MS" w:eastAsia="Times New Roman" w:hAnsi="Trebuchet MS" w:cs="Times New Roman"/>
                <w:color w:val="555555"/>
                <w:sz w:val="18"/>
                <w:szCs w:val="18"/>
              </w:rPr>
              <w:t>An explanation of how Amazon successfully leverages e-commerce strategies to promote supply chain integration and boost sales growth for the organization makes meaningful connections that are clear, concise, and integrated. An explanation of which strategies are particularly effective is substantiated with acute detail. Supporting sources show a deep understanding of the content.</w:t>
            </w:r>
          </w:p>
        </w:tc>
        <w:tc>
          <w:tcPr>
            <w:tcW w:w="0" w:type="auto"/>
            <w:shd w:val="clear" w:color="auto" w:fill="FFFFFF"/>
            <w:vAlign w:val="center"/>
            <w:hideMark/>
          </w:tcPr>
          <w:p w:rsidR="004C1CF5" w:rsidRPr="004C1CF5" w:rsidRDefault="004C1CF5" w:rsidP="004C1CF5">
            <w:pPr>
              <w:rPr>
                <w:rFonts w:ascii="Times New Roman" w:eastAsia="Times New Roman" w:hAnsi="Times New Roman" w:cs="Times New Roman"/>
                <w:sz w:val="20"/>
                <w:szCs w:val="20"/>
              </w:rPr>
            </w:pPr>
          </w:p>
        </w:tc>
      </w:tr>
      <w:tr w:rsidR="004C1CF5" w:rsidRPr="004C1CF5" w:rsidTr="004C1CF5">
        <w:trPr>
          <w:tblCellSpacing w:w="0" w:type="dxa"/>
        </w:trPr>
        <w:tc>
          <w:tcPr>
            <w:tcW w:w="0" w:type="auto"/>
            <w:tcBorders>
              <w:left w:val="single" w:sz="6" w:space="0" w:color="D0D0D0"/>
              <w:bottom w:val="single" w:sz="6" w:space="0" w:color="D0D0D0"/>
            </w:tcBorders>
            <w:shd w:val="clear" w:color="auto" w:fill="F6F6F6"/>
            <w:hideMark/>
          </w:tcPr>
          <w:p w:rsidR="004C1CF5" w:rsidRPr="004C1CF5" w:rsidRDefault="004C1CF5" w:rsidP="004C1CF5">
            <w:pPr>
              <w:spacing w:line="210" w:lineRule="atLeast"/>
              <w:rPr>
                <w:rFonts w:ascii="Trebuchet MS" w:eastAsia="Times New Roman" w:hAnsi="Trebuchet MS" w:cs="Times New Roman"/>
                <w:color w:val="555555"/>
                <w:sz w:val="18"/>
                <w:szCs w:val="18"/>
              </w:rPr>
            </w:pPr>
            <w:r w:rsidRPr="004C1CF5">
              <w:rPr>
                <w:rFonts w:ascii="Trebuchet MS" w:eastAsia="Times New Roman" w:hAnsi="Trebuchet MS" w:cs="Times New Roman"/>
                <w:b/>
                <w:bCs/>
                <w:color w:val="000000"/>
                <w:sz w:val="18"/>
              </w:rPr>
              <w:t>10.0 %Model Company and Ethical Implications</w:t>
            </w:r>
          </w:p>
        </w:tc>
        <w:tc>
          <w:tcPr>
            <w:tcW w:w="0" w:type="auto"/>
            <w:tcBorders>
              <w:left w:val="single" w:sz="6" w:space="0" w:color="D0D0D0"/>
              <w:bottom w:val="single" w:sz="6" w:space="0" w:color="D0D0D0"/>
            </w:tcBorders>
            <w:shd w:val="clear" w:color="auto" w:fill="FFFFFF"/>
            <w:hideMark/>
          </w:tcPr>
          <w:p w:rsidR="004C1CF5" w:rsidRPr="004C1CF5" w:rsidRDefault="004C1CF5" w:rsidP="004C1CF5">
            <w:pPr>
              <w:spacing w:line="210" w:lineRule="atLeast"/>
              <w:rPr>
                <w:rFonts w:ascii="Trebuchet MS" w:eastAsia="Times New Roman" w:hAnsi="Trebuchet MS" w:cs="Times New Roman"/>
                <w:color w:val="555555"/>
                <w:sz w:val="18"/>
                <w:szCs w:val="18"/>
              </w:rPr>
            </w:pPr>
            <w:r w:rsidRPr="004C1CF5">
              <w:rPr>
                <w:rFonts w:ascii="Trebuchet MS" w:eastAsia="Times New Roman" w:hAnsi="Trebuchet MS" w:cs="Times New Roman"/>
                <w:color w:val="555555"/>
                <w:sz w:val="18"/>
                <w:szCs w:val="18"/>
              </w:rPr>
              <w:t>An explanation of Amazon as an exemplary model, including discussion of rationale and ethical implications, is absent, inappropriate, or irrelevant.</w:t>
            </w:r>
          </w:p>
        </w:tc>
        <w:tc>
          <w:tcPr>
            <w:tcW w:w="0" w:type="auto"/>
            <w:tcBorders>
              <w:left w:val="single" w:sz="6" w:space="0" w:color="D0D0D0"/>
              <w:bottom w:val="single" w:sz="6" w:space="0" w:color="D0D0D0"/>
            </w:tcBorders>
            <w:shd w:val="clear" w:color="auto" w:fill="FFFFFF"/>
            <w:hideMark/>
          </w:tcPr>
          <w:p w:rsidR="004C1CF5" w:rsidRPr="004C1CF5" w:rsidRDefault="004C1CF5" w:rsidP="004C1CF5">
            <w:pPr>
              <w:spacing w:line="210" w:lineRule="atLeast"/>
              <w:rPr>
                <w:rFonts w:ascii="Trebuchet MS" w:eastAsia="Times New Roman" w:hAnsi="Trebuchet MS" w:cs="Times New Roman"/>
                <w:color w:val="555555"/>
                <w:sz w:val="18"/>
                <w:szCs w:val="18"/>
              </w:rPr>
            </w:pPr>
            <w:r w:rsidRPr="004C1CF5">
              <w:rPr>
                <w:rFonts w:ascii="Trebuchet MS" w:eastAsia="Times New Roman" w:hAnsi="Trebuchet MS" w:cs="Times New Roman"/>
                <w:color w:val="555555"/>
                <w:sz w:val="18"/>
                <w:szCs w:val="18"/>
              </w:rPr>
              <w:t>An explanation of Amazon as an exemplary model, including discussion of rationale and ethical implications, is weak or marginal with gaps. Supporting sources show very limited understanding of the content.</w:t>
            </w:r>
          </w:p>
        </w:tc>
        <w:tc>
          <w:tcPr>
            <w:tcW w:w="0" w:type="auto"/>
            <w:tcBorders>
              <w:left w:val="single" w:sz="6" w:space="0" w:color="D0D0D0"/>
              <w:bottom w:val="single" w:sz="6" w:space="0" w:color="D0D0D0"/>
            </w:tcBorders>
            <w:shd w:val="clear" w:color="auto" w:fill="FFFFFF"/>
            <w:hideMark/>
          </w:tcPr>
          <w:p w:rsidR="004C1CF5" w:rsidRPr="004C1CF5" w:rsidRDefault="004C1CF5" w:rsidP="004C1CF5">
            <w:pPr>
              <w:spacing w:line="210" w:lineRule="atLeast"/>
              <w:rPr>
                <w:rFonts w:ascii="Trebuchet MS" w:eastAsia="Times New Roman" w:hAnsi="Trebuchet MS" w:cs="Times New Roman"/>
                <w:color w:val="555555"/>
                <w:sz w:val="18"/>
                <w:szCs w:val="18"/>
              </w:rPr>
            </w:pPr>
            <w:r w:rsidRPr="004C1CF5">
              <w:rPr>
                <w:rFonts w:ascii="Trebuchet MS" w:eastAsia="Times New Roman" w:hAnsi="Trebuchet MS" w:cs="Times New Roman"/>
                <w:color w:val="555555"/>
                <w:sz w:val="18"/>
                <w:szCs w:val="18"/>
              </w:rPr>
              <w:t>An explanation of Amazon as an exemplary model, including discussion of rationale and ethical implications, makes connections at a cursory level and contains minimal gaps Supporting sources show some understanding of the content.</w:t>
            </w:r>
          </w:p>
        </w:tc>
        <w:tc>
          <w:tcPr>
            <w:tcW w:w="0" w:type="auto"/>
            <w:tcBorders>
              <w:left w:val="single" w:sz="6" w:space="0" w:color="D0D0D0"/>
              <w:bottom w:val="single" w:sz="6" w:space="0" w:color="D0D0D0"/>
            </w:tcBorders>
            <w:shd w:val="clear" w:color="auto" w:fill="FFFFFF"/>
            <w:hideMark/>
          </w:tcPr>
          <w:p w:rsidR="004C1CF5" w:rsidRPr="004C1CF5" w:rsidRDefault="004C1CF5" w:rsidP="004C1CF5">
            <w:pPr>
              <w:spacing w:line="210" w:lineRule="atLeast"/>
              <w:rPr>
                <w:rFonts w:ascii="Trebuchet MS" w:eastAsia="Times New Roman" w:hAnsi="Trebuchet MS" w:cs="Times New Roman"/>
                <w:color w:val="555555"/>
                <w:sz w:val="18"/>
                <w:szCs w:val="18"/>
              </w:rPr>
            </w:pPr>
            <w:r w:rsidRPr="004C1CF5">
              <w:rPr>
                <w:rFonts w:ascii="Trebuchet MS" w:eastAsia="Times New Roman" w:hAnsi="Trebuchet MS" w:cs="Times New Roman"/>
                <w:color w:val="555555"/>
                <w:sz w:val="18"/>
                <w:szCs w:val="18"/>
              </w:rPr>
              <w:t>An explanation of Amazon as an exemplary model, including discussion of rationale and ethical implications, makes meaningful connections and contains no gaps. Supporting sources show an informed understanding of the content.</w:t>
            </w:r>
          </w:p>
        </w:tc>
        <w:tc>
          <w:tcPr>
            <w:tcW w:w="0" w:type="auto"/>
            <w:tcBorders>
              <w:left w:val="single" w:sz="6" w:space="0" w:color="D0D0D0"/>
              <w:bottom w:val="single" w:sz="6" w:space="0" w:color="D0D0D0"/>
            </w:tcBorders>
            <w:shd w:val="clear" w:color="auto" w:fill="FFFFFF"/>
            <w:hideMark/>
          </w:tcPr>
          <w:p w:rsidR="004C1CF5" w:rsidRPr="004C1CF5" w:rsidRDefault="004C1CF5" w:rsidP="004C1CF5">
            <w:pPr>
              <w:spacing w:line="210" w:lineRule="atLeast"/>
              <w:rPr>
                <w:rFonts w:ascii="Trebuchet MS" w:eastAsia="Times New Roman" w:hAnsi="Trebuchet MS" w:cs="Times New Roman"/>
                <w:color w:val="555555"/>
                <w:sz w:val="18"/>
                <w:szCs w:val="18"/>
              </w:rPr>
            </w:pPr>
            <w:r w:rsidRPr="004C1CF5">
              <w:rPr>
                <w:rFonts w:ascii="Trebuchet MS" w:eastAsia="Times New Roman" w:hAnsi="Trebuchet MS" w:cs="Times New Roman"/>
                <w:color w:val="555555"/>
                <w:sz w:val="18"/>
                <w:szCs w:val="18"/>
              </w:rPr>
              <w:t>An explanation of Amazon as an exemplary model, including discussion of rationale and ethical implications, makes meaningful connections that are clear, concise, and integrated. Supporting sources show a deep understanding of the content.</w:t>
            </w:r>
          </w:p>
        </w:tc>
        <w:tc>
          <w:tcPr>
            <w:tcW w:w="0" w:type="auto"/>
            <w:shd w:val="clear" w:color="auto" w:fill="FFFFFF"/>
            <w:vAlign w:val="center"/>
            <w:hideMark/>
          </w:tcPr>
          <w:p w:rsidR="004C1CF5" w:rsidRPr="004C1CF5" w:rsidRDefault="004C1CF5" w:rsidP="004C1CF5">
            <w:pPr>
              <w:rPr>
                <w:rFonts w:ascii="Times New Roman" w:eastAsia="Times New Roman" w:hAnsi="Times New Roman" w:cs="Times New Roman"/>
                <w:sz w:val="20"/>
                <w:szCs w:val="20"/>
              </w:rPr>
            </w:pPr>
          </w:p>
        </w:tc>
      </w:tr>
      <w:tr w:rsidR="004C1CF5" w:rsidRPr="004C1CF5" w:rsidTr="004C1CF5">
        <w:trPr>
          <w:tblCellSpacing w:w="0" w:type="dxa"/>
        </w:trPr>
        <w:tc>
          <w:tcPr>
            <w:tcW w:w="0" w:type="auto"/>
            <w:tcBorders>
              <w:top w:val="single" w:sz="6" w:space="0" w:color="9BC6DB"/>
              <w:left w:val="single" w:sz="6" w:space="0" w:color="9BC6DB"/>
              <w:bottom w:val="single" w:sz="6" w:space="0" w:color="9BC6DB"/>
              <w:right w:val="nil"/>
            </w:tcBorders>
            <w:shd w:val="clear" w:color="auto" w:fill="FFFFFF"/>
            <w:hideMark/>
          </w:tcPr>
          <w:p w:rsidR="004C1CF5" w:rsidRPr="004C1CF5" w:rsidRDefault="004C1CF5" w:rsidP="004C1CF5">
            <w:pPr>
              <w:spacing w:line="210" w:lineRule="atLeast"/>
              <w:rPr>
                <w:rFonts w:ascii="Trebuchet MS" w:eastAsia="Times New Roman" w:hAnsi="Trebuchet MS" w:cs="Times New Roman"/>
                <w:color w:val="555555"/>
                <w:sz w:val="18"/>
                <w:szCs w:val="18"/>
              </w:rPr>
            </w:pPr>
            <w:r w:rsidRPr="004C1CF5">
              <w:rPr>
                <w:rFonts w:ascii="Trebuchet MS" w:eastAsia="Times New Roman" w:hAnsi="Trebuchet MS" w:cs="Times New Roman"/>
                <w:b/>
                <w:bCs/>
                <w:color w:val="000000"/>
                <w:sz w:val="18"/>
              </w:rPr>
              <w:t>20.0 %Organization and Effectiveness</w:t>
            </w:r>
          </w:p>
        </w:tc>
        <w:tc>
          <w:tcPr>
            <w:tcW w:w="0" w:type="auto"/>
            <w:gridSpan w:val="6"/>
            <w:tcBorders>
              <w:top w:val="single" w:sz="6" w:space="0" w:color="9BC6DB"/>
              <w:left w:val="single" w:sz="6" w:space="0" w:color="9BC6DB"/>
              <w:bottom w:val="single" w:sz="6" w:space="0" w:color="9BC6DB"/>
              <w:right w:val="single" w:sz="6" w:space="0" w:color="9BC6DB"/>
            </w:tcBorders>
            <w:shd w:val="clear" w:color="auto" w:fill="FFFFFF"/>
            <w:vAlign w:val="center"/>
            <w:hideMark/>
          </w:tcPr>
          <w:p w:rsidR="004C1CF5" w:rsidRPr="004C1CF5" w:rsidRDefault="004C1CF5" w:rsidP="004C1CF5">
            <w:pPr>
              <w:spacing w:line="210" w:lineRule="atLeast"/>
              <w:jc w:val="center"/>
              <w:rPr>
                <w:rFonts w:ascii="Trebuchet MS" w:eastAsia="Times New Roman" w:hAnsi="Trebuchet MS" w:cs="Times New Roman"/>
                <w:b/>
                <w:bCs/>
                <w:color w:val="000000"/>
                <w:sz w:val="18"/>
                <w:szCs w:val="18"/>
              </w:rPr>
            </w:pPr>
            <w:r w:rsidRPr="004C1CF5">
              <w:rPr>
                <w:rFonts w:ascii="Trebuchet MS" w:eastAsia="Times New Roman" w:hAnsi="Trebuchet MS" w:cs="Times New Roman"/>
                <w:b/>
                <w:bCs/>
                <w:color w:val="000000"/>
                <w:sz w:val="18"/>
                <w:szCs w:val="18"/>
              </w:rPr>
              <w:t> </w:t>
            </w:r>
          </w:p>
        </w:tc>
      </w:tr>
      <w:tr w:rsidR="004C1CF5" w:rsidRPr="004C1CF5" w:rsidTr="004C1CF5">
        <w:trPr>
          <w:tblCellSpacing w:w="0" w:type="dxa"/>
        </w:trPr>
        <w:tc>
          <w:tcPr>
            <w:tcW w:w="0" w:type="auto"/>
            <w:tcBorders>
              <w:left w:val="single" w:sz="6" w:space="0" w:color="D0D0D0"/>
              <w:bottom w:val="single" w:sz="6" w:space="0" w:color="D0D0D0"/>
            </w:tcBorders>
            <w:shd w:val="clear" w:color="auto" w:fill="F6F6F6"/>
            <w:hideMark/>
          </w:tcPr>
          <w:p w:rsidR="004C1CF5" w:rsidRPr="004C1CF5" w:rsidRDefault="004C1CF5" w:rsidP="004C1CF5">
            <w:pPr>
              <w:spacing w:line="210" w:lineRule="atLeast"/>
              <w:rPr>
                <w:rFonts w:ascii="Trebuchet MS" w:eastAsia="Times New Roman" w:hAnsi="Trebuchet MS" w:cs="Times New Roman"/>
                <w:color w:val="555555"/>
                <w:sz w:val="18"/>
                <w:szCs w:val="18"/>
              </w:rPr>
            </w:pPr>
            <w:r w:rsidRPr="004C1CF5">
              <w:rPr>
                <w:rFonts w:ascii="Trebuchet MS" w:eastAsia="Times New Roman" w:hAnsi="Trebuchet MS" w:cs="Times New Roman"/>
                <w:b/>
                <w:bCs/>
                <w:color w:val="000000"/>
                <w:sz w:val="18"/>
              </w:rPr>
              <w:t>5.0 %Mechanics of Writing (includes spelling, punctuation, grammar, language use)</w:t>
            </w:r>
          </w:p>
        </w:tc>
        <w:tc>
          <w:tcPr>
            <w:tcW w:w="0" w:type="auto"/>
            <w:tcBorders>
              <w:left w:val="single" w:sz="6" w:space="0" w:color="D0D0D0"/>
              <w:bottom w:val="single" w:sz="6" w:space="0" w:color="D0D0D0"/>
            </w:tcBorders>
            <w:shd w:val="clear" w:color="auto" w:fill="FFFFFF"/>
            <w:hideMark/>
          </w:tcPr>
          <w:p w:rsidR="004C1CF5" w:rsidRPr="004C1CF5" w:rsidRDefault="004C1CF5" w:rsidP="004C1CF5">
            <w:pPr>
              <w:spacing w:line="210" w:lineRule="atLeast"/>
              <w:rPr>
                <w:rFonts w:ascii="Trebuchet MS" w:eastAsia="Times New Roman" w:hAnsi="Trebuchet MS" w:cs="Times New Roman"/>
                <w:color w:val="555555"/>
                <w:sz w:val="18"/>
                <w:szCs w:val="18"/>
              </w:rPr>
            </w:pPr>
            <w:r w:rsidRPr="004C1CF5">
              <w:rPr>
                <w:rFonts w:ascii="Trebuchet MS" w:eastAsia="Times New Roman" w:hAnsi="Trebuchet MS" w:cs="Times New Roman"/>
                <w:color w:val="555555"/>
                <w:sz w:val="18"/>
                <w:szCs w:val="18"/>
              </w:rPr>
              <w:t>Surface errors are pervasive enough that they impede communication of meaning. Inappropriate word choice or sentence construction is used.</w:t>
            </w:r>
          </w:p>
        </w:tc>
        <w:tc>
          <w:tcPr>
            <w:tcW w:w="0" w:type="auto"/>
            <w:tcBorders>
              <w:left w:val="single" w:sz="6" w:space="0" w:color="D0D0D0"/>
              <w:bottom w:val="single" w:sz="6" w:space="0" w:color="D0D0D0"/>
            </w:tcBorders>
            <w:shd w:val="clear" w:color="auto" w:fill="FFFFFF"/>
            <w:hideMark/>
          </w:tcPr>
          <w:p w:rsidR="004C1CF5" w:rsidRPr="004C1CF5" w:rsidRDefault="004C1CF5" w:rsidP="004C1CF5">
            <w:pPr>
              <w:spacing w:line="210" w:lineRule="atLeast"/>
              <w:rPr>
                <w:rFonts w:ascii="Trebuchet MS" w:eastAsia="Times New Roman" w:hAnsi="Trebuchet MS" w:cs="Times New Roman"/>
                <w:color w:val="555555"/>
                <w:sz w:val="18"/>
                <w:szCs w:val="18"/>
              </w:rPr>
            </w:pPr>
            <w:r w:rsidRPr="004C1CF5">
              <w:rPr>
                <w:rFonts w:ascii="Trebuchet MS" w:eastAsia="Times New Roman" w:hAnsi="Trebuchet MS" w:cs="Times New Roman"/>
                <w:color w:val="555555"/>
                <w:sz w:val="18"/>
                <w:szCs w:val="18"/>
              </w:rPr>
              <w:t>Frequent and repetitive mechanical errors distract the reader. Inconsistencies in language choice (register) or word choice are present. Sentence structure is correct but not varied.</w:t>
            </w:r>
          </w:p>
        </w:tc>
        <w:tc>
          <w:tcPr>
            <w:tcW w:w="0" w:type="auto"/>
            <w:tcBorders>
              <w:left w:val="single" w:sz="6" w:space="0" w:color="D0D0D0"/>
              <w:bottom w:val="single" w:sz="6" w:space="0" w:color="D0D0D0"/>
            </w:tcBorders>
            <w:shd w:val="clear" w:color="auto" w:fill="FFFFFF"/>
            <w:hideMark/>
          </w:tcPr>
          <w:p w:rsidR="004C1CF5" w:rsidRPr="004C1CF5" w:rsidRDefault="004C1CF5" w:rsidP="004C1CF5">
            <w:pPr>
              <w:spacing w:line="210" w:lineRule="atLeast"/>
              <w:rPr>
                <w:rFonts w:ascii="Trebuchet MS" w:eastAsia="Times New Roman" w:hAnsi="Trebuchet MS" w:cs="Times New Roman"/>
                <w:color w:val="555555"/>
                <w:sz w:val="18"/>
                <w:szCs w:val="18"/>
              </w:rPr>
            </w:pPr>
            <w:r w:rsidRPr="004C1CF5">
              <w:rPr>
                <w:rFonts w:ascii="Trebuchet MS" w:eastAsia="Times New Roman" w:hAnsi="Trebuchet MS" w:cs="Times New Roman"/>
                <w:color w:val="555555"/>
                <w:sz w:val="18"/>
                <w:szCs w:val="18"/>
              </w:rPr>
              <w:t>Some mechanical errors or typos are present, but they are not overly distracting to the reader. Correct and varied sentence structure and audience-appropriate language are employed.</w:t>
            </w:r>
          </w:p>
        </w:tc>
        <w:tc>
          <w:tcPr>
            <w:tcW w:w="0" w:type="auto"/>
            <w:tcBorders>
              <w:left w:val="single" w:sz="6" w:space="0" w:color="D0D0D0"/>
              <w:bottom w:val="single" w:sz="6" w:space="0" w:color="D0D0D0"/>
            </w:tcBorders>
            <w:shd w:val="clear" w:color="auto" w:fill="FFFFFF"/>
            <w:hideMark/>
          </w:tcPr>
          <w:p w:rsidR="004C1CF5" w:rsidRPr="004C1CF5" w:rsidRDefault="004C1CF5" w:rsidP="004C1CF5">
            <w:pPr>
              <w:spacing w:line="210" w:lineRule="atLeast"/>
              <w:rPr>
                <w:rFonts w:ascii="Trebuchet MS" w:eastAsia="Times New Roman" w:hAnsi="Trebuchet MS" w:cs="Times New Roman"/>
                <w:color w:val="555555"/>
                <w:sz w:val="18"/>
                <w:szCs w:val="18"/>
              </w:rPr>
            </w:pPr>
            <w:r w:rsidRPr="004C1CF5">
              <w:rPr>
                <w:rFonts w:ascii="Trebuchet MS" w:eastAsia="Times New Roman" w:hAnsi="Trebuchet MS" w:cs="Times New Roman"/>
                <w:color w:val="555555"/>
                <w:sz w:val="18"/>
                <w:szCs w:val="18"/>
              </w:rPr>
              <w:t>Prose is largely free of mechanical errors, although a few may be present. The writer uses a variety of effective sentence structures and figures of speech.</w:t>
            </w:r>
          </w:p>
        </w:tc>
        <w:tc>
          <w:tcPr>
            <w:tcW w:w="0" w:type="auto"/>
            <w:tcBorders>
              <w:left w:val="single" w:sz="6" w:space="0" w:color="D0D0D0"/>
              <w:bottom w:val="single" w:sz="6" w:space="0" w:color="D0D0D0"/>
            </w:tcBorders>
            <w:shd w:val="clear" w:color="auto" w:fill="FFFFFF"/>
            <w:hideMark/>
          </w:tcPr>
          <w:p w:rsidR="004C1CF5" w:rsidRPr="004C1CF5" w:rsidRDefault="004C1CF5" w:rsidP="004C1CF5">
            <w:pPr>
              <w:spacing w:line="210" w:lineRule="atLeast"/>
              <w:rPr>
                <w:rFonts w:ascii="Trebuchet MS" w:eastAsia="Times New Roman" w:hAnsi="Trebuchet MS" w:cs="Times New Roman"/>
                <w:color w:val="555555"/>
                <w:sz w:val="18"/>
                <w:szCs w:val="18"/>
              </w:rPr>
            </w:pPr>
            <w:r w:rsidRPr="004C1CF5">
              <w:rPr>
                <w:rFonts w:ascii="Trebuchet MS" w:eastAsia="Times New Roman" w:hAnsi="Trebuchet MS" w:cs="Times New Roman"/>
                <w:color w:val="555555"/>
                <w:sz w:val="18"/>
                <w:szCs w:val="18"/>
              </w:rPr>
              <w:t>Writer is clearly in command of standard, written, academic English.</w:t>
            </w:r>
          </w:p>
        </w:tc>
        <w:tc>
          <w:tcPr>
            <w:tcW w:w="0" w:type="auto"/>
            <w:shd w:val="clear" w:color="auto" w:fill="FFFFFF"/>
            <w:vAlign w:val="center"/>
            <w:hideMark/>
          </w:tcPr>
          <w:p w:rsidR="004C1CF5" w:rsidRPr="004C1CF5" w:rsidRDefault="004C1CF5" w:rsidP="004C1CF5">
            <w:pPr>
              <w:rPr>
                <w:rFonts w:ascii="Times New Roman" w:eastAsia="Times New Roman" w:hAnsi="Times New Roman" w:cs="Times New Roman"/>
                <w:sz w:val="20"/>
                <w:szCs w:val="20"/>
              </w:rPr>
            </w:pPr>
          </w:p>
        </w:tc>
      </w:tr>
      <w:tr w:rsidR="004C1CF5" w:rsidRPr="004C1CF5" w:rsidTr="004C1CF5">
        <w:trPr>
          <w:tblCellSpacing w:w="0" w:type="dxa"/>
        </w:trPr>
        <w:tc>
          <w:tcPr>
            <w:tcW w:w="0" w:type="auto"/>
            <w:tcBorders>
              <w:top w:val="single" w:sz="6" w:space="0" w:color="9BC6DB"/>
              <w:left w:val="single" w:sz="6" w:space="0" w:color="9BC6DB"/>
              <w:bottom w:val="single" w:sz="6" w:space="0" w:color="9BC6DB"/>
              <w:right w:val="nil"/>
            </w:tcBorders>
            <w:shd w:val="clear" w:color="auto" w:fill="FFFFFF"/>
            <w:hideMark/>
          </w:tcPr>
          <w:p w:rsidR="004C1CF5" w:rsidRPr="004C1CF5" w:rsidRDefault="004C1CF5" w:rsidP="004C1CF5">
            <w:pPr>
              <w:spacing w:line="210" w:lineRule="atLeast"/>
              <w:rPr>
                <w:rFonts w:ascii="Trebuchet MS" w:eastAsia="Times New Roman" w:hAnsi="Trebuchet MS" w:cs="Times New Roman"/>
                <w:color w:val="555555"/>
                <w:sz w:val="18"/>
                <w:szCs w:val="18"/>
              </w:rPr>
            </w:pPr>
            <w:r w:rsidRPr="004C1CF5">
              <w:rPr>
                <w:rFonts w:ascii="Trebuchet MS" w:eastAsia="Times New Roman" w:hAnsi="Trebuchet MS" w:cs="Times New Roman"/>
                <w:b/>
                <w:bCs/>
                <w:color w:val="000000"/>
                <w:sz w:val="18"/>
              </w:rPr>
              <w:t xml:space="preserve">20.0 %Organization </w:t>
            </w:r>
            <w:r w:rsidRPr="004C1CF5">
              <w:rPr>
                <w:rFonts w:ascii="Trebuchet MS" w:eastAsia="Times New Roman" w:hAnsi="Trebuchet MS" w:cs="Times New Roman"/>
                <w:b/>
                <w:bCs/>
                <w:color w:val="000000"/>
                <w:sz w:val="18"/>
              </w:rPr>
              <w:lastRenderedPageBreak/>
              <w:t>and Effectiveness</w:t>
            </w:r>
          </w:p>
        </w:tc>
        <w:tc>
          <w:tcPr>
            <w:tcW w:w="0" w:type="auto"/>
            <w:gridSpan w:val="6"/>
            <w:tcBorders>
              <w:top w:val="single" w:sz="6" w:space="0" w:color="9BC6DB"/>
              <w:left w:val="single" w:sz="6" w:space="0" w:color="9BC6DB"/>
              <w:bottom w:val="single" w:sz="6" w:space="0" w:color="9BC6DB"/>
              <w:right w:val="single" w:sz="6" w:space="0" w:color="9BC6DB"/>
            </w:tcBorders>
            <w:shd w:val="clear" w:color="auto" w:fill="FFFFFF"/>
            <w:vAlign w:val="center"/>
            <w:hideMark/>
          </w:tcPr>
          <w:p w:rsidR="004C1CF5" w:rsidRPr="004C1CF5" w:rsidRDefault="004C1CF5" w:rsidP="004C1CF5">
            <w:pPr>
              <w:spacing w:line="210" w:lineRule="atLeast"/>
              <w:jc w:val="center"/>
              <w:rPr>
                <w:rFonts w:ascii="Trebuchet MS" w:eastAsia="Times New Roman" w:hAnsi="Trebuchet MS" w:cs="Times New Roman"/>
                <w:b/>
                <w:bCs/>
                <w:color w:val="000000"/>
                <w:sz w:val="18"/>
                <w:szCs w:val="18"/>
              </w:rPr>
            </w:pPr>
            <w:r w:rsidRPr="004C1CF5">
              <w:rPr>
                <w:rFonts w:ascii="Trebuchet MS" w:eastAsia="Times New Roman" w:hAnsi="Trebuchet MS" w:cs="Times New Roman"/>
                <w:b/>
                <w:bCs/>
                <w:color w:val="000000"/>
                <w:sz w:val="18"/>
                <w:szCs w:val="18"/>
              </w:rPr>
              <w:lastRenderedPageBreak/>
              <w:t> </w:t>
            </w:r>
          </w:p>
        </w:tc>
      </w:tr>
      <w:tr w:rsidR="004C1CF5" w:rsidRPr="004C1CF5" w:rsidTr="004C1CF5">
        <w:trPr>
          <w:tblCellSpacing w:w="0" w:type="dxa"/>
        </w:trPr>
        <w:tc>
          <w:tcPr>
            <w:tcW w:w="0" w:type="auto"/>
            <w:tcBorders>
              <w:left w:val="single" w:sz="6" w:space="0" w:color="D0D0D0"/>
              <w:bottom w:val="single" w:sz="6" w:space="0" w:color="D0D0D0"/>
            </w:tcBorders>
            <w:shd w:val="clear" w:color="auto" w:fill="F6F6F6"/>
            <w:hideMark/>
          </w:tcPr>
          <w:p w:rsidR="004C1CF5" w:rsidRPr="004C1CF5" w:rsidRDefault="004C1CF5" w:rsidP="004C1CF5">
            <w:pPr>
              <w:spacing w:line="210" w:lineRule="atLeast"/>
              <w:rPr>
                <w:rFonts w:ascii="Trebuchet MS" w:eastAsia="Times New Roman" w:hAnsi="Trebuchet MS" w:cs="Times New Roman"/>
                <w:color w:val="555555"/>
                <w:sz w:val="18"/>
                <w:szCs w:val="18"/>
              </w:rPr>
            </w:pPr>
            <w:r w:rsidRPr="004C1CF5">
              <w:rPr>
                <w:rFonts w:ascii="Trebuchet MS" w:eastAsia="Times New Roman" w:hAnsi="Trebuchet MS" w:cs="Times New Roman"/>
                <w:b/>
                <w:bCs/>
                <w:color w:val="000000"/>
                <w:sz w:val="18"/>
              </w:rPr>
              <w:lastRenderedPageBreak/>
              <w:t>8.0 %Argument Logic and Construction</w:t>
            </w:r>
          </w:p>
        </w:tc>
        <w:tc>
          <w:tcPr>
            <w:tcW w:w="0" w:type="auto"/>
            <w:tcBorders>
              <w:left w:val="single" w:sz="6" w:space="0" w:color="D0D0D0"/>
              <w:bottom w:val="single" w:sz="6" w:space="0" w:color="D0D0D0"/>
            </w:tcBorders>
            <w:shd w:val="clear" w:color="auto" w:fill="FFFFFF"/>
            <w:hideMark/>
          </w:tcPr>
          <w:p w:rsidR="004C1CF5" w:rsidRPr="004C1CF5" w:rsidRDefault="004C1CF5" w:rsidP="004C1CF5">
            <w:pPr>
              <w:spacing w:line="210" w:lineRule="atLeast"/>
              <w:rPr>
                <w:rFonts w:ascii="Trebuchet MS" w:eastAsia="Times New Roman" w:hAnsi="Trebuchet MS" w:cs="Times New Roman"/>
                <w:color w:val="555555"/>
                <w:sz w:val="18"/>
                <w:szCs w:val="18"/>
              </w:rPr>
            </w:pPr>
            <w:r w:rsidRPr="004C1CF5">
              <w:rPr>
                <w:rFonts w:ascii="Trebuchet MS" w:eastAsia="Times New Roman" w:hAnsi="Trebuchet MS" w:cs="Times New Roman"/>
                <w:color w:val="555555"/>
                <w:sz w:val="18"/>
                <w:szCs w:val="18"/>
              </w:rPr>
              <w:t xml:space="preserve">Statement of purpose is not justified by the conclusion. The conclusion does not support the claim made. Argument is incoherent and uses </w:t>
            </w:r>
            <w:proofErr w:type="spellStart"/>
            <w:r w:rsidRPr="004C1CF5">
              <w:rPr>
                <w:rFonts w:ascii="Trebuchet MS" w:eastAsia="Times New Roman" w:hAnsi="Trebuchet MS" w:cs="Times New Roman"/>
                <w:color w:val="555555"/>
                <w:sz w:val="18"/>
                <w:szCs w:val="18"/>
              </w:rPr>
              <w:t>noncredible</w:t>
            </w:r>
            <w:proofErr w:type="spellEnd"/>
            <w:r w:rsidRPr="004C1CF5">
              <w:rPr>
                <w:rFonts w:ascii="Trebuchet MS" w:eastAsia="Times New Roman" w:hAnsi="Trebuchet MS" w:cs="Times New Roman"/>
                <w:color w:val="555555"/>
                <w:sz w:val="18"/>
                <w:szCs w:val="18"/>
              </w:rPr>
              <w:t xml:space="preserve"> sources.</w:t>
            </w:r>
          </w:p>
        </w:tc>
        <w:tc>
          <w:tcPr>
            <w:tcW w:w="0" w:type="auto"/>
            <w:tcBorders>
              <w:left w:val="single" w:sz="6" w:space="0" w:color="D0D0D0"/>
              <w:bottom w:val="single" w:sz="6" w:space="0" w:color="D0D0D0"/>
            </w:tcBorders>
            <w:shd w:val="clear" w:color="auto" w:fill="FFFFFF"/>
            <w:hideMark/>
          </w:tcPr>
          <w:p w:rsidR="004C1CF5" w:rsidRPr="004C1CF5" w:rsidRDefault="004C1CF5" w:rsidP="004C1CF5">
            <w:pPr>
              <w:spacing w:line="210" w:lineRule="atLeast"/>
              <w:rPr>
                <w:rFonts w:ascii="Trebuchet MS" w:eastAsia="Times New Roman" w:hAnsi="Trebuchet MS" w:cs="Times New Roman"/>
                <w:color w:val="555555"/>
                <w:sz w:val="18"/>
                <w:szCs w:val="18"/>
              </w:rPr>
            </w:pPr>
            <w:r w:rsidRPr="004C1CF5">
              <w:rPr>
                <w:rFonts w:ascii="Trebuchet MS" w:eastAsia="Times New Roman" w:hAnsi="Trebuchet MS" w:cs="Times New Roman"/>
                <w:color w:val="555555"/>
                <w:sz w:val="18"/>
                <w:szCs w:val="18"/>
              </w:rPr>
              <w:t>Sufficient justification of claims is lacking. Argument lacks consistent unity. There are obvious flaws in the logic. Some sources have questionable credibility.</w:t>
            </w:r>
          </w:p>
        </w:tc>
        <w:tc>
          <w:tcPr>
            <w:tcW w:w="0" w:type="auto"/>
            <w:tcBorders>
              <w:left w:val="single" w:sz="6" w:space="0" w:color="D0D0D0"/>
              <w:bottom w:val="single" w:sz="6" w:space="0" w:color="D0D0D0"/>
            </w:tcBorders>
            <w:shd w:val="clear" w:color="auto" w:fill="FFFFFF"/>
            <w:hideMark/>
          </w:tcPr>
          <w:p w:rsidR="004C1CF5" w:rsidRPr="004C1CF5" w:rsidRDefault="004C1CF5" w:rsidP="004C1CF5">
            <w:pPr>
              <w:spacing w:line="210" w:lineRule="atLeast"/>
              <w:rPr>
                <w:rFonts w:ascii="Trebuchet MS" w:eastAsia="Times New Roman" w:hAnsi="Trebuchet MS" w:cs="Times New Roman"/>
                <w:color w:val="555555"/>
                <w:sz w:val="18"/>
                <w:szCs w:val="18"/>
              </w:rPr>
            </w:pPr>
            <w:r w:rsidRPr="004C1CF5">
              <w:rPr>
                <w:rFonts w:ascii="Trebuchet MS" w:eastAsia="Times New Roman" w:hAnsi="Trebuchet MS" w:cs="Times New Roman"/>
                <w:color w:val="555555"/>
                <w:sz w:val="18"/>
                <w:szCs w:val="18"/>
              </w:rPr>
              <w:t>Argument is orderly, but may have a few inconsistencies. The argument presents minimal justification of claims. Argument logically, but not thoroughly, supports the purpose. Sources used are credible. Introduction and conclusion bracket the thesis.</w:t>
            </w:r>
          </w:p>
        </w:tc>
        <w:tc>
          <w:tcPr>
            <w:tcW w:w="0" w:type="auto"/>
            <w:tcBorders>
              <w:left w:val="single" w:sz="6" w:space="0" w:color="D0D0D0"/>
              <w:bottom w:val="single" w:sz="6" w:space="0" w:color="D0D0D0"/>
            </w:tcBorders>
            <w:shd w:val="clear" w:color="auto" w:fill="FFFFFF"/>
            <w:hideMark/>
          </w:tcPr>
          <w:p w:rsidR="004C1CF5" w:rsidRPr="004C1CF5" w:rsidRDefault="004C1CF5" w:rsidP="004C1CF5">
            <w:pPr>
              <w:spacing w:line="210" w:lineRule="atLeast"/>
              <w:rPr>
                <w:rFonts w:ascii="Trebuchet MS" w:eastAsia="Times New Roman" w:hAnsi="Trebuchet MS" w:cs="Times New Roman"/>
                <w:color w:val="555555"/>
                <w:sz w:val="18"/>
                <w:szCs w:val="18"/>
              </w:rPr>
            </w:pPr>
            <w:r w:rsidRPr="004C1CF5">
              <w:rPr>
                <w:rFonts w:ascii="Trebuchet MS" w:eastAsia="Times New Roman" w:hAnsi="Trebuchet MS" w:cs="Times New Roman"/>
                <w:color w:val="555555"/>
                <w:sz w:val="18"/>
                <w:szCs w:val="18"/>
              </w:rPr>
              <w:t>Argument shows logical progressions. Techniques of argumentation are evident. There is a smooth progression of claims from introduction to conclusion. Most sources are authoritative.</w:t>
            </w:r>
          </w:p>
        </w:tc>
        <w:tc>
          <w:tcPr>
            <w:tcW w:w="0" w:type="auto"/>
            <w:tcBorders>
              <w:left w:val="single" w:sz="6" w:space="0" w:color="D0D0D0"/>
              <w:bottom w:val="single" w:sz="6" w:space="0" w:color="D0D0D0"/>
            </w:tcBorders>
            <w:shd w:val="clear" w:color="auto" w:fill="FFFFFF"/>
            <w:hideMark/>
          </w:tcPr>
          <w:p w:rsidR="004C1CF5" w:rsidRPr="004C1CF5" w:rsidRDefault="004C1CF5" w:rsidP="004C1CF5">
            <w:pPr>
              <w:spacing w:line="210" w:lineRule="atLeast"/>
              <w:rPr>
                <w:rFonts w:ascii="Trebuchet MS" w:eastAsia="Times New Roman" w:hAnsi="Trebuchet MS" w:cs="Times New Roman"/>
                <w:color w:val="555555"/>
                <w:sz w:val="18"/>
                <w:szCs w:val="18"/>
              </w:rPr>
            </w:pPr>
            <w:r w:rsidRPr="004C1CF5">
              <w:rPr>
                <w:rFonts w:ascii="Trebuchet MS" w:eastAsia="Times New Roman" w:hAnsi="Trebuchet MS" w:cs="Times New Roman"/>
                <w:color w:val="555555"/>
                <w:sz w:val="18"/>
                <w:szCs w:val="18"/>
              </w:rPr>
              <w:t>Clear and convincing argument that presents a persuasive claim in a distinctive and compelling manner. All sources are authoritative.</w:t>
            </w:r>
          </w:p>
        </w:tc>
        <w:tc>
          <w:tcPr>
            <w:tcW w:w="0" w:type="auto"/>
            <w:shd w:val="clear" w:color="auto" w:fill="FFFFFF"/>
            <w:vAlign w:val="center"/>
            <w:hideMark/>
          </w:tcPr>
          <w:p w:rsidR="004C1CF5" w:rsidRPr="004C1CF5" w:rsidRDefault="004C1CF5" w:rsidP="004C1CF5">
            <w:pPr>
              <w:rPr>
                <w:rFonts w:ascii="Times New Roman" w:eastAsia="Times New Roman" w:hAnsi="Times New Roman" w:cs="Times New Roman"/>
                <w:sz w:val="20"/>
                <w:szCs w:val="20"/>
              </w:rPr>
            </w:pPr>
          </w:p>
        </w:tc>
      </w:tr>
      <w:tr w:rsidR="004C1CF5" w:rsidRPr="004C1CF5" w:rsidTr="004C1CF5">
        <w:trPr>
          <w:tblCellSpacing w:w="0" w:type="dxa"/>
        </w:trPr>
        <w:tc>
          <w:tcPr>
            <w:tcW w:w="0" w:type="auto"/>
            <w:tcBorders>
              <w:top w:val="single" w:sz="6" w:space="0" w:color="9BC6DB"/>
              <w:left w:val="single" w:sz="6" w:space="0" w:color="9BC6DB"/>
              <w:bottom w:val="single" w:sz="6" w:space="0" w:color="9BC6DB"/>
              <w:right w:val="nil"/>
            </w:tcBorders>
            <w:shd w:val="clear" w:color="auto" w:fill="FFFFFF"/>
            <w:hideMark/>
          </w:tcPr>
          <w:p w:rsidR="004C1CF5" w:rsidRPr="004C1CF5" w:rsidRDefault="004C1CF5" w:rsidP="004C1CF5">
            <w:pPr>
              <w:spacing w:line="210" w:lineRule="atLeast"/>
              <w:rPr>
                <w:rFonts w:ascii="Trebuchet MS" w:eastAsia="Times New Roman" w:hAnsi="Trebuchet MS" w:cs="Times New Roman"/>
                <w:color w:val="555555"/>
                <w:sz w:val="18"/>
                <w:szCs w:val="18"/>
              </w:rPr>
            </w:pPr>
            <w:r w:rsidRPr="004C1CF5">
              <w:rPr>
                <w:rFonts w:ascii="Trebuchet MS" w:eastAsia="Times New Roman" w:hAnsi="Trebuchet MS" w:cs="Times New Roman"/>
                <w:b/>
                <w:bCs/>
                <w:color w:val="000000"/>
                <w:sz w:val="18"/>
              </w:rPr>
              <w:t>20.0 %Organization and Effectiveness</w:t>
            </w:r>
          </w:p>
        </w:tc>
        <w:tc>
          <w:tcPr>
            <w:tcW w:w="0" w:type="auto"/>
            <w:gridSpan w:val="6"/>
            <w:tcBorders>
              <w:top w:val="single" w:sz="6" w:space="0" w:color="9BC6DB"/>
              <w:left w:val="single" w:sz="6" w:space="0" w:color="9BC6DB"/>
              <w:bottom w:val="single" w:sz="6" w:space="0" w:color="9BC6DB"/>
              <w:right w:val="single" w:sz="6" w:space="0" w:color="9BC6DB"/>
            </w:tcBorders>
            <w:shd w:val="clear" w:color="auto" w:fill="FFFFFF"/>
            <w:vAlign w:val="center"/>
            <w:hideMark/>
          </w:tcPr>
          <w:p w:rsidR="004C1CF5" w:rsidRPr="004C1CF5" w:rsidRDefault="004C1CF5" w:rsidP="004C1CF5">
            <w:pPr>
              <w:spacing w:line="210" w:lineRule="atLeast"/>
              <w:jc w:val="center"/>
              <w:rPr>
                <w:rFonts w:ascii="Trebuchet MS" w:eastAsia="Times New Roman" w:hAnsi="Trebuchet MS" w:cs="Times New Roman"/>
                <w:b/>
                <w:bCs/>
                <w:color w:val="000000"/>
                <w:sz w:val="18"/>
                <w:szCs w:val="18"/>
              </w:rPr>
            </w:pPr>
            <w:r w:rsidRPr="004C1CF5">
              <w:rPr>
                <w:rFonts w:ascii="Trebuchet MS" w:eastAsia="Times New Roman" w:hAnsi="Trebuchet MS" w:cs="Times New Roman"/>
                <w:b/>
                <w:bCs/>
                <w:color w:val="000000"/>
                <w:sz w:val="18"/>
                <w:szCs w:val="18"/>
              </w:rPr>
              <w:t> </w:t>
            </w:r>
          </w:p>
        </w:tc>
      </w:tr>
      <w:tr w:rsidR="004C1CF5" w:rsidRPr="004C1CF5" w:rsidTr="004C1CF5">
        <w:trPr>
          <w:tblCellSpacing w:w="0" w:type="dxa"/>
        </w:trPr>
        <w:tc>
          <w:tcPr>
            <w:tcW w:w="0" w:type="auto"/>
            <w:tcBorders>
              <w:left w:val="single" w:sz="6" w:space="0" w:color="D0D0D0"/>
              <w:bottom w:val="single" w:sz="6" w:space="0" w:color="D0D0D0"/>
            </w:tcBorders>
            <w:shd w:val="clear" w:color="auto" w:fill="F6F6F6"/>
            <w:hideMark/>
          </w:tcPr>
          <w:p w:rsidR="004C1CF5" w:rsidRPr="004C1CF5" w:rsidRDefault="004C1CF5" w:rsidP="004C1CF5">
            <w:pPr>
              <w:spacing w:line="210" w:lineRule="atLeast"/>
              <w:rPr>
                <w:rFonts w:ascii="Trebuchet MS" w:eastAsia="Times New Roman" w:hAnsi="Trebuchet MS" w:cs="Times New Roman"/>
                <w:color w:val="555555"/>
                <w:sz w:val="18"/>
                <w:szCs w:val="18"/>
              </w:rPr>
            </w:pPr>
            <w:r w:rsidRPr="004C1CF5">
              <w:rPr>
                <w:rFonts w:ascii="Trebuchet MS" w:eastAsia="Times New Roman" w:hAnsi="Trebuchet MS" w:cs="Times New Roman"/>
                <w:b/>
                <w:bCs/>
                <w:color w:val="000000"/>
                <w:sz w:val="18"/>
              </w:rPr>
              <w:t>7.0 %Thesis Development and Purpose</w:t>
            </w:r>
          </w:p>
        </w:tc>
        <w:tc>
          <w:tcPr>
            <w:tcW w:w="0" w:type="auto"/>
            <w:tcBorders>
              <w:left w:val="single" w:sz="6" w:space="0" w:color="D0D0D0"/>
              <w:bottom w:val="single" w:sz="6" w:space="0" w:color="D0D0D0"/>
            </w:tcBorders>
            <w:shd w:val="clear" w:color="auto" w:fill="FFFFFF"/>
            <w:hideMark/>
          </w:tcPr>
          <w:p w:rsidR="004C1CF5" w:rsidRPr="004C1CF5" w:rsidRDefault="004C1CF5" w:rsidP="004C1CF5">
            <w:pPr>
              <w:spacing w:line="210" w:lineRule="atLeast"/>
              <w:rPr>
                <w:rFonts w:ascii="Trebuchet MS" w:eastAsia="Times New Roman" w:hAnsi="Trebuchet MS" w:cs="Times New Roman"/>
                <w:color w:val="555555"/>
                <w:sz w:val="18"/>
                <w:szCs w:val="18"/>
              </w:rPr>
            </w:pPr>
            <w:r w:rsidRPr="004C1CF5">
              <w:rPr>
                <w:rFonts w:ascii="Trebuchet MS" w:eastAsia="Times New Roman" w:hAnsi="Trebuchet MS" w:cs="Times New Roman"/>
                <w:color w:val="555555"/>
                <w:sz w:val="18"/>
                <w:szCs w:val="18"/>
              </w:rPr>
              <w:t>Paper lacks any discernible overall purpose or organizing claim.</w:t>
            </w:r>
          </w:p>
        </w:tc>
        <w:tc>
          <w:tcPr>
            <w:tcW w:w="0" w:type="auto"/>
            <w:tcBorders>
              <w:left w:val="single" w:sz="6" w:space="0" w:color="D0D0D0"/>
              <w:bottom w:val="single" w:sz="6" w:space="0" w:color="D0D0D0"/>
            </w:tcBorders>
            <w:shd w:val="clear" w:color="auto" w:fill="FFFFFF"/>
            <w:hideMark/>
          </w:tcPr>
          <w:p w:rsidR="004C1CF5" w:rsidRPr="004C1CF5" w:rsidRDefault="004C1CF5" w:rsidP="004C1CF5">
            <w:pPr>
              <w:spacing w:line="210" w:lineRule="atLeast"/>
              <w:rPr>
                <w:rFonts w:ascii="Trebuchet MS" w:eastAsia="Times New Roman" w:hAnsi="Trebuchet MS" w:cs="Times New Roman"/>
                <w:color w:val="555555"/>
                <w:sz w:val="18"/>
                <w:szCs w:val="18"/>
              </w:rPr>
            </w:pPr>
            <w:r w:rsidRPr="004C1CF5">
              <w:rPr>
                <w:rFonts w:ascii="Trebuchet MS" w:eastAsia="Times New Roman" w:hAnsi="Trebuchet MS" w:cs="Times New Roman"/>
                <w:color w:val="555555"/>
                <w:sz w:val="18"/>
                <w:szCs w:val="18"/>
              </w:rPr>
              <w:t>Thesis is insufficiently developed or vague. Purpose is not clear.</w:t>
            </w:r>
          </w:p>
        </w:tc>
        <w:tc>
          <w:tcPr>
            <w:tcW w:w="0" w:type="auto"/>
            <w:tcBorders>
              <w:left w:val="single" w:sz="6" w:space="0" w:color="D0D0D0"/>
              <w:bottom w:val="single" w:sz="6" w:space="0" w:color="D0D0D0"/>
            </w:tcBorders>
            <w:shd w:val="clear" w:color="auto" w:fill="FFFFFF"/>
            <w:hideMark/>
          </w:tcPr>
          <w:p w:rsidR="004C1CF5" w:rsidRPr="004C1CF5" w:rsidRDefault="004C1CF5" w:rsidP="004C1CF5">
            <w:pPr>
              <w:spacing w:line="210" w:lineRule="atLeast"/>
              <w:rPr>
                <w:rFonts w:ascii="Trebuchet MS" w:eastAsia="Times New Roman" w:hAnsi="Trebuchet MS" w:cs="Times New Roman"/>
                <w:color w:val="555555"/>
                <w:sz w:val="18"/>
                <w:szCs w:val="18"/>
              </w:rPr>
            </w:pPr>
            <w:r w:rsidRPr="004C1CF5">
              <w:rPr>
                <w:rFonts w:ascii="Trebuchet MS" w:eastAsia="Times New Roman" w:hAnsi="Trebuchet MS" w:cs="Times New Roman"/>
                <w:color w:val="555555"/>
                <w:sz w:val="18"/>
                <w:szCs w:val="18"/>
              </w:rPr>
              <w:t>Thesis is apparent and appropriate to purpose</w:t>
            </w:r>
          </w:p>
        </w:tc>
        <w:tc>
          <w:tcPr>
            <w:tcW w:w="0" w:type="auto"/>
            <w:tcBorders>
              <w:left w:val="single" w:sz="6" w:space="0" w:color="D0D0D0"/>
              <w:bottom w:val="single" w:sz="6" w:space="0" w:color="D0D0D0"/>
            </w:tcBorders>
            <w:shd w:val="clear" w:color="auto" w:fill="FFFFFF"/>
            <w:hideMark/>
          </w:tcPr>
          <w:p w:rsidR="004C1CF5" w:rsidRPr="004C1CF5" w:rsidRDefault="004C1CF5" w:rsidP="004C1CF5">
            <w:pPr>
              <w:spacing w:line="210" w:lineRule="atLeast"/>
              <w:rPr>
                <w:rFonts w:ascii="Trebuchet MS" w:eastAsia="Times New Roman" w:hAnsi="Trebuchet MS" w:cs="Times New Roman"/>
                <w:color w:val="555555"/>
                <w:sz w:val="18"/>
                <w:szCs w:val="18"/>
              </w:rPr>
            </w:pPr>
            <w:r w:rsidRPr="004C1CF5">
              <w:rPr>
                <w:rFonts w:ascii="Trebuchet MS" w:eastAsia="Times New Roman" w:hAnsi="Trebuchet MS" w:cs="Times New Roman"/>
                <w:color w:val="555555"/>
                <w:sz w:val="18"/>
                <w:szCs w:val="18"/>
              </w:rPr>
              <w:t>Thesis is clear and forecasts the development of the paper. Thesis is descriptive and reflective of the arguments and appropriate to the purpose.</w:t>
            </w:r>
          </w:p>
        </w:tc>
        <w:tc>
          <w:tcPr>
            <w:tcW w:w="0" w:type="auto"/>
            <w:tcBorders>
              <w:left w:val="single" w:sz="6" w:space="0" w:color="D0D0D0"/>
              <w:bottom w:val="single" w:sz="6" w:space="0" w:color="D0D0D0"/>
            </w:tcBorders>
            <w:shd w:val="clear" w:color="auto" w:fill="FFFFFF"/>
            <w:hideMark/>
          </w:tcPr>
          <w:p w:rsidR="004C1CF5" w:rsidRPr="004C1CF5" w:rsidRDefault="004C1CF5" w:rsidP="004C1CF5">
            <w:pPr>
              <w:spacing w:line="210" w:lineRule="atLeast"/>
              <w:rPr>
                <w:rFonts w:ascii="Trebuchet MS" w:eastAsia="Times New Roman" w:hAnsi="Trebuchet MS" w:cs="Times New Roman"/>
                <w:color w:val="555555"/>
                <w:sz w:val="18"/>
                <w:szCs w:val="18"/>
              </w:rPr>
            </w:pPr>
            <w:r w:rsidRPr="004C1CF5">
              <w:rPr>
                <w:rFonts w:ascii="Trebuchet MS" w:eastAsia="Times New Roman" w:hAnsi="Trebuchet MS" w:cs="Times New Roman"/>
                <w:color w:val="555555"/>
                <w:sz w:val="18"/>
                <w:szCs w:val="18"/>
              </w:rPr>
              <w:t>Thesis is comprehensive and contains the essence of the paper. Thesis statement makes the purpose of the paper clear.</w:t>
            </w:r>
          </w:p>
        </w:tc>
        <w:tc>
          <w:tcPr>
            <w:tcW w:w="0" w:type="auto"/>
            <w:shd w:val="clear" w:color="auto" w:fill="FFFFFF"/>
            <w:vAlign w:val="center"/>
            <w:hideMark/>
          </w:tcPr>
          <w:p w:rsidR="004C1CF5" w:rsidRPr="004C1CF5" w:rsidRDefault="004C1CF5" w:rsidP="004C1CF5">
            <w:pPr>
              <w:rPr>
                <w:rFonts w:ascii="Times New Roman" w:eastAsia="Times New Roman" w:hAnsi="Times New Roman" w:cs="Times New Roman"/>
                <w:sz w:val="20"/>
                <w:szCs w:val="20"/>
              </w:rPr>
            </w:pPr>
          </w:p>
        </w:tc>
      </w:tr>
      <w:tr w:rsidR="004C1CF5" w:rsidRPr="004C1CF5" w:rsidTr="004C1CF5">
        <w:trPr>
          <w:tblCellSpacing w:w="0" w:type="dxa"/>
        </w:trPr>
        <w:tc>
          <w:tcPr>
            <w:tcW w:w="0" w:type="auto"/>
            <w:tcBorders>
              <w:top w:val="single" w:sz="6" w:space="0" w:color="9BC6DB"/>
              <w:left w:val="single" w:sz="6" w:space="0" w:color="9BC6DB"/>
              <w:bottom w:val="single" w:sz="6" w:space="0" w:color="9BC6DB"/>
              <w:right w:val="nil"/>
            </w:tcBorders>
            <w:shd w:val="clear" w:color="auto" w:fill="FFFFFF"/>
            <w:hideMark/>
          </w:tcPr>
          <w:p w:rsidR="004C1CF5" w:rsidRPr="004C1CF5" w:rsidRDefault="004C1CF5" w:rsidP="004C1CF5">
            <w:pPr>
              <w:spacing w:line="210" w:lineRule="atLeast"/>
              <w:rPr>
                <w:rFonts w:ascii="Trebuchet MS" w:eastAsia="Times New Roman" w:hAnsi="Trebuchet MS" w:cs="Times New Roman"/>
                <w:color w:val="555555"/>
                <w:sz w:val="18"/>
                <w:szCs w:val="18"/>
              </w:rPr>
            </w:pPr>
            <w:r w:rsidRPr="004C1CF5">
              <w:rPr>
                <w:rFonts w:ascii="Trebuchet MS" w:eastAsia="Times New Roman" w:hAnsi="Trebuchet MS" w:cs="Times New Roman"/>
                <w:b/>
                <w:bCs/>
                <w:color w:val="000000"/>
                <w:sz w:val="18"/>
              </w:rPr>
              <w:t>10.0 %Format</w:t>
            </w:r>
          </w:p>
        </w:tc>
        <w:tc>
          <w:tcPr>
            <w:tcW w:w="0" w:type="auto"/>
            <w:gridSpan w:val="6"/>
            <w:tcBorders>
              <w:top w:val="single" w:sz="6" w:space="0" w:color="9BC6DB"/>
              <w:left w:val="single" w:sz="6" w:space="0" w:color="9BC6DB"/>
              <w:bottom w:val="single" w:sz="6" w:space="0" w:color="9BC6DB"/>
              <w:right w:val="single" w:sz="6" w:space="0" w:color="9BC6DB"/>
            </w:tcBorders>
            <w:shd w:val="clear" w:color="auto" w:fill="FFFFFF"/>
            <w:vAlign w:val="center"/>
            <w:hideMark/>
          </w:tcPr>
          <w:p w:rsidR="004C1CF5" w:rsidRPr="004C1CF5" w:rsidRDefault="004C1CF5" w:rsidP="004C1CF5">
            <w:pPr>
              <w:spacing w:line="210" w:lineRule="atLeast"/>
              <w:jc w:val="center"/>
              <w:rPr>
                <w:rFonts w:ascii="Trebuchet MS" w:eastAsia="Times New Roman" w:hAnsi="Trebuchet MS" w:cs="Times New Roman"/>
                <w:b/>
                <w:bCs/>
                <w:color w:val="000000"/>
                <w:sz w:val="18"/>
                <w:szCs w:val="18"/>
              </w:rPr>
            </w:pPr>
            <w:r w:rsidRPr="004C1CF5">
              <w:rPr>
                <w:rFonts w:ascii="Trebuchet MS" w:eastAsia="Times New Roman" w:hAnsi="Trebuchet MS" w:cs="Times New Roman"/>
                <w:b/>
                <w:bCs/>
                <w:color w:val="000000"/>
                <w:sz w:val="18"/>
                <w:szCs w:val="18"/>
              </w:rPr>
              <w:t> </w:t>
            </w:r>
          </w:p>
        </w:tc>
      </w:tr>
      <w:tr w:rsidR="004C1CF5" w:rsidRPr="004C1CF5" w:rsidTr="004C1CF5">
        <w:trPr>
          <w:tblCellSpacing w:w="0" w:type="dxa"/>
        </w:trPr>
        <w:tc>
          <w:tcPr>
            <w:tcW w:w="0" w:type="auto"/>
            <w:tcBorders>
              <w:left w:val="single" w:sz="6" w:space="0" w:color="D0D0D0"/>
              <w:bottom w:val="single" w:sz="6" w:space="0" w:color="D0D0D0"/>
            </w:tcBorders>
            <w:shd w:val="clear" w:color="auto" w:fill="F6F6F6"/>
            <w:hideMark/>
          </w:tcPr>
          <w:p w:rsidR="004C1CF5" w:rsidRPr="004C1CF5" w:rsidRDefault="004C1CF5" w:rsidP="004C1CF5">
            <w:pPr>
              <w:spacing w:line="210" w:lineRule="atLeast"/>
              <w:rPr>
                <w:rFonts w:ascii="Trebuchet MS" w:eastAsia="Times New Roman" w:hAnsi="Trebuchet MS" w:cs="Times New Roman"/>
                <w:color w:val="555555"/>
                <w:sz w:val="18"/>
                <w:szCs w:val="18"/>
              </w:rPr>
            </w:pPr>
            <w:r w:rsidRPr="004C1CF5">
              <w:rPr>
                <w:rFonts w:ascii="Trebuchet MS" w:eastAsia="Times New Roman" w:hAnsi="Trebuchet MS" w:cs="Times New Roman"/>
                <w:b/>
                <w:bCs/>
                <w:color w:val="000000"/>
                <w:sz w:val="18"/>
              </w:rPr>
              <w:t>5.0 %Paper Format (use of appropriate style for the major and assignment)</w:t>
            </w:r>
          </w:p>
        </w:tc>
        <w:tc>
          <w:tcPr>
            <w:tcW w:w="0" w:type="auto"/>
            <w:tcBorders>
              <w:left w:val="single" w:sz="6" w:space="0" w:color="D0D0D0"/>
              <w:bottom w:val="single" w:sz="6" w:space="0" w:color="D0D0D0"/>
            </w:tcBorders>
            <w:shd w:val="clear" w:color="auto" w:fill="FFFFFF"/>
            <w:hideMark/>
          </w:tcPr>
          <w:p w:rsidR="004C1CF5" w:rsidRPr="004C1CF5" w:rsidRDefault="004C1CF5" w:rsidP="004C1CF5">
            <w:pPr>
              <w:spacing w:line="210" w:lineRule="atLeast"/>
              <w:rPr>
                <w:rFonts w:ascii="Trebuchet MS" w:eastAsia="Times New Roman" w:hAnsi="Trebuchet MS" w:cs="Times New Roman"/>
                <w:color w:val="555555"/>
                <w:sz w:val="18"/>
                <w:szCs w:val="18"/>
              </w:rPr>
            </w:pPr>
            <w:r w:rsidRPr="004C1CF5">
              <w:rPr>
                <w:rFonts w:ascii="Trebuchet MS" w:eastAsia="Times New Roman" w:hAnsi="Trebuchet MS" w:cs="Times New Roman"/>
                <w:color w:val="555555"/>
                <w:sz w:val="18"/>
                <w:szCs w:val="18"/>
              </w:rPr>
              <w:t>Template is not used appropriately or documentation format is rarely followed correctly.</w:t>
            </w:r>
          </w:p>
        </w:tc>
        <w:tc>
          <w:tcPr>
            <w:tcW w:w="0" w:type="auto"/>
            <w:tcBorders>
              <w:left w:val="single" w:sz="6" w:space="0" w:color="D0D0D0"/>
              <w:bottom w:val="single" w:sz="6" w:space="0" w:color="D0D0D0"/>
            </w:tcBorders>
            <w:shd w:val="clear" w:color="auto" w:fill="FFFFFF"/>
            <w:hideMark/>
          </w:tcPr>
          <w:p w:rsidR="004C1CF5" w:rsidRPr="004C1CF5" w:rsidRDefault="004C1CF5" w:rsidP="004C1CF5">
            <w:pPr>
              <w:spacing w:line="210" w:lineRule="atLeast"/>
              <w:rPr>
                <w:rFonts w:ascii="Trebuchet MS" w:eastAsia="Times New Roman" w:hAnsi="Trebuchet MS" w:cs="Times New Roman"/>
                <w:color w:val="555555"/>
                <w:sz w:val="18"/>
                <w:szCs w:val="18"/>
              </w:rPr>
            </w:pPr>
            <w:r w:rsidRPr="004C1CF5">
              <w:rPr>
                <w:rFonts w:ascii="Trebuchet MS" w:eastAsia="Times New Roman" w:hAnsi="Trebuchet MS" w:cs="Times New Roman"/>
                <w:color w:val="555555"/>
                <w:sz w:val="18"/>
                <w:szCs w:val="18"/>
              </w:rPr>
              <w:t>Appropriate template is used, but some elements are missing or mistaken. A lack of control with formatting is apparent</w:t>
            </w:r>
          </w:p>
        </w:tc>
        <w:tc>
          <w:tcPr>
            <w:tcW w:w="0" w:type="auto"/>
            <w:tcBorders>
              <w:left w:val="single" w:sz="6" w:space="0" w:color="D0D0D0"/>
              <w:bottom w:val="single" w:sz="6" w:space="0" w:color="D0D0D0"/>
            </w:tcBorders>
            <w:shd w:val="clear" w:color="auto" w:fill="FFFFFF"/>
            <w:hideMark/>
          </w:tcPr>
          <w:p w:rsidR="004C1CF5" w:rsidRPr="004C1CF5" w:rsidRDefault="004C1CF5" w:rsidP="004C1CF5">
            <w:pPr>
              <w:spacing w:line="210" w:lineRule="atLeast"/>
              <w:rPr>
                <w:rFonts w:ascii="Trebuchet MS" w:eastAsia="Times New Roman" w:hAnsi="Trebuchet MS" w:cs="Times New Roman"/>
                <w:color w:val="555555"/>
                <w:sz w:val="18"/>
                <w:szCs w:val="18"/>
              </w:rPr>
            </w:pPr>
            <w:r w:rsidRPr="004C1CF5">
              <w:rPr>
                <w:rFonts w:ascii="Trebuchet MS" w:eastAsia="Times New Roman" w:hAnsi="Trebuchet MS" w:cs="Times New Roman"/>
                <w:color w:val="555555"/>
                <w:sz w:val="18"/>
                <w:szCs w:val="18"/>
              </w:rPr>
              <w:t>Appropriate template is used. Formatting is correct, although some minor errors may be present.</w:t>
            </w:r>
          </w:p>
        </w:tc>
        <w:tc>
          <w:tcPr>
            <w:tcW w:w="0" w:type="auto"/>
            <w:tcBorders>
              <w:left w:val="single" w:sz="6" w:space="0" w:color="D0D0D0"/>
              <w:bottom w:val="single" w:sz="6" w:space="0" w:color="D0D0D0"/>
            </w:tcBorders>
            <w:shd w:val="clear" w:color="auto" w:fill="FFFFFF"/>
            <w:hideMark/>
          </w:tcPr>
          <w:p w:rsidR="004C1CF5" w:rsidRPr="004C1CF5" w:rsidRDefault="004C1CF5" w:rsidP="004C1CF5">
            <w:pPr>
              <w:spacing w:line="210" w:lineRule="atLeast"/>
              <w:rPr>
                <w:rFonts w:ascii="Trebuchet MS" w:eastAsia="Times New Roman" w:hAnsi="Trebuchet MS" w:cs="Times New Roman"/>
                <w:color w:val="555555"/>
                <w:sz w:val="18"/>
                <w:szCs w:val="18"/>
              </w:rPr>
            </w:pPr>
            <w:r w:rsidRPr="004C1CF5">
              <w:rPr>
                <w:rFonts w:ascii="Trebuchet MS" w:eastAsia="Times New Roman" w:hAnsi="Trebuchet MS" w:cs="Times New Roman"/>
                <w:color w:val="555555"/>
                <w:sz w:val="18"/>
                <w:szCs w:val="18"/>
              </w:rPr>
              <w:t>Appropriate template is fully used. There are virtually no errors in formatting style.</w:t>
            </w:r>
          </w:p>
        </w:tc>
        <w:tc>
          <w:tcPr>
            <w:tcW w:w="0" w:type="auto"/>
            <w:tcBorders>
              <w:left w:val="single" w:sz="6" w:space="0" w:color="D0D0D0"/>
              <w:bottom w:val="single" w:sz="6" w:space="0" w:color="D0D0D0"/>
            </w:tcBorders>
            <w:shd w:val="clear" w:color="auto" w:fill="FFFFFF"/>
            <w:hideMark/>
          </w:tcPr>
          <w:p w:rsidR="004C1CF5" w:rsidRPr="004C1CF5" w:rsidRDefault="004C1CF5" w:rsidP="004C1CF5">
            <w:pPr>
              <w:spacing w:line="210" w:lineRule="atLeast"/>
              <w:rPr>
                <w:rFonts w:ascii="Trebuchet MS" w:eastAsia="Times New Roman" w:hAnsi="Trebuchet MS" w:cs="Times New Roman"/>
                <w:color w:val="555555"/>
                <w:sz w:val="18"/>
                <w:szCs w:val="18"/>
              </w:rPr>
            </w:pPr>
            <w:r w:rsidRPr="004C1CF5">
              <w:rPr>
                <w:rFonts w:ascii="Trebuchet MS" w:eastAsia="Times New Roman" w:hAnsi="Trebuchet MS" w:cs="Times New Roman"/>
                <w:color w:val="555555"/>
                <w:sz w:val="18"/>
                <w:szCs w:val="18"/>
              </w:rPr>
              <w:t>All format elements are correct.</w:t>
            </w:r>
          </w:p>
        </w:tc>
        <w:tc>
          <w:tcPr>
            <w:tcW w:w="0" w:type="auto"/>
            <w:shd w:val="clear" w:color="auto" w:fill="FFFFFF"/>
            <w:vAlign w:val="center"/>
            <w:hideMark/>
          </w:tcPr>
          <w:p w:rsidR="004C1CF5" w:rsidRPr="004C1CF5" w:rsidRDefault="004C1CF5" w:rsidP="004C1CF5">
            <w:pPr>
              <w:rPr>
                <w:rFonts w:ascii="Times New Roman" w:eastAsia="Times New Roman" w:hAnsi="Times New Roman" w:cs="Times New Roman"/>
                <w:sz w:val="20"/>
                <w:szCs w:val="20"/>
              </w:rPr>
            </w:pPr>
          </w:p>
        </w:tc>
      </w:tr>
      <w:tr w:rsidR="004C1CF5" w:rsidRPr="004C1CF5" w:rsidTr="004C1CF5">
        <w:trPr>
          <w:tblCellSpacing w:w="0" w:type="dxa"/>
        </w:trPr>
        <w:tc>
          <w:tcPr>
            <w:tcW w:w="0" w:type="auto"/>
            <w:tcBorders>
              <w:left w:val="single" w:sz="6" w:space="0" w:color="D0D0D0"/>
              <w:bottom w:val="single" w:sz="6" w:space="0" w:color="D0D0D0"/>
            </w:tcBorders>
            <w:shd w:val="clear" w:color="auto" w:fill="F6F6F6"/>
            <w:hideMark/>
          </w:tcPr>
          <w:p w:rsidR="004C1CF5" w:rsidRPr="004C1CF5" w:rsidRDefault="004C1CF5" w:rsidP="004C1CF5">
            <w:pPr>
              <w:spacing w:line="210" w:lineRule="atLeast"/>
              <w:rPr>
                <w:rFonts w:ascii="Trebuchet MS" w:eastAsia="Times New Roman" w:hAnsi="Trebuchet MS" w:cs="Times New Roman"/>
                <w:color w:val="555555"/>
                <w:sz w:val="18"/>
                <w:szCs w:val="18"/>
              </w:rPr>
            </w:pPr>
            <w:r w:rsidRPr="004C1CF5">
              <w:rPr>
                <w:rFonts w:ascii="Trebuchet MS" w:eastAsia="Times New Roman" w:hAnsi="Trebuchet MS" w:cs="Times New Roman"/>
                <w:b/>
                <w:bCs/>
                <w:color w:val="000000"/>
                <w:sz w:val="18"/>
              </w:rPr>
              <w:t>5.0 %Documentation of Sources (citations, footnotes, references, bibliography, etc., as appropriate to assignment and style)</w:t>
            </w:r>
          </w:p>
        </w:tc>
        <w:tc>
          <w:tcPr>
            <w:tcW w:w="0" w:type="auto"/>
            <w:tcBorders>
              <w:left w:val="single" w:sz="6" w:space="0" w:color="D0D0D0"/>
              <w:bottom w:val="single" w:sz="6" w:space="0" w:color="D0D0D0"/>
            </w:tcBorders>
            <w:shd w:val="clear" w:color="auto" w:fill="FFFFFF"/>
            <w:hideMark/>
          </w:tcPr>
          <w:p w:rsidR="004C1CF5" w:rsidRPr="004C1CF5" w:rsidRDefault="004C1CF5" w:rsidP="004C1CF5">
            <w:pPr>
              <w:spacing w:line="210" w:lineRule="atLeast"/>
              <w:rPr>
                <w:rFonts w:ascii="Trebuchet MS" w:eastAsia="Times New Roman" w:hAnsi="Trebuchet MS" w:cs="Times New Roman"/>
                <w:color w:val="555555"/>
                <w:sz w:val="18"/>
                <w:szCs w:val="18"/>
              </w:rPr>
            </w:pPr>
            <w:r w:rsidRPr="004C1CF5">
              <w:rPr>
                <w:rFonts w:ascii="Trebuchet MS" w:eastAsia="Times New Roman" w:hAnsi="Trebuchet MS" w:cs="Times New Roman"/>
                <w:color w:val="555555"/>
                <w:sz w:val="18"/>
                <w:szCs w:val="18"/>
              </w:rPr>
              <w:t>Sources are not documented.</w:t>
            </w:r>
          </w:p>
        </w:tc>
        <w:tc>
          <w:tcPr>
            <w:tcW w:w="0" w:type="auto"/>
            <w:tcBorders>
              <w:left w:val="single" w:sz="6" w:space="0" w:color="D0D0D0"/>
              <w:bottom w:val="single" w:sz="6" w:space="0" w:color="D0D0D0"/>
            </w:tcBorders>
            <w:shd w:val="clear" w:color="auto" w:fill="FFFFFF"/>
            <w:hideMark/>
          </w:tcPr>
          <w:p w:rsidR="004C1CF5" w:rsidRPr="004C1CF5" w:rsidRDefault="004C1CF5" w:rsidP="004C1CF5">
            <w:pPr>
              <w:spacing w:line="210" w:lineRule="atLeast"/>
              <w:rPr>
                <w:rFonts w:ascii="Trebuchet MS" w:eastAsia="Times New Roman" w:hAnsi="Trebuchet MS" w:cs="Times New Roman"/>
                <w:color w:val="555555"/>
                <w:sz w:val="18"/>
                <w:szCs w:val="18"/>
              </w:rPr>
            </w:pPr>
            <w:r w:rsidRPr="004C1CF5">
              <w:rPr>
                <w:rFonts w:ascii="Trebuchet MS" w:eastAsia="Times New Roman" w:hAnsi="Trebuchet MS" w:cs="Times New Roman"/>
                <w:color w:val="555555"/>
                <w:sz w:val="18"/>
                <w:szCs w:val="18"/>
              </w:rPr>
              <w:t>Documentation of sources is inconsistent or incorrect, as appropriate to assignment and style, with numerous formatting errors.</w:t>
            </w:r>
          </w:p>
        </w:tc>
        <w:tc>
          <w:tcPr>
            <w:tcW w:w="0" w:type="auto"/>
            <w:tcBorders>
              <w:left w:val="single" w:sz="6" w:space="0" w:color="D0D0D0"/>
              <w:bottom w:val="single" w:sz="6" w:space="0" w:color="D0D0D0"/>
            </w:tcBorders>
            <w:shd w:val="clear" w:color="auto" w:fill="FFFFFF"/>
            <w:hideMark/>
          </w:tcPr>
          <w:p w:rsidR="004C1CF5" w:rsidRPr="004C1CF5" w:rsidRDefault="004C1CF5" w:rsidP="004C1CF5">
            <w:pPr>
              <w:spacing w:line="210" w:lineRule="atLeast"/>
              <w:rPr>
                <w:rFonts w:ascii="Trebuchet MS" w:eastAsia="Times New Roman" w:hAnsi="Trebuchet MS" w:cs="Times New Roman"/>
                <w:color w:val="555555"/>
                <w:sz w:val="18"/>
                <w:szCs w:val="18"/>
              </w:rPr>
            </w:pPr>
            <w:r w:rsidRPr="004C1CF5">
              <w:rPr>
                <w:rFonts w:ascii="Trebuchet MS" w:eastAsia="Times New Roman" w:hAnsi="Trebuchet MS" w:cs="Times New Roman"/>
                <w:color w:val="555555"/>
                <w:sz w:val="18"/>
                <w:szCs w:val="18"/>
              </w:rPr>
              <w:t>Sources are documented, as appropriate to assignment and style, although some formatting errors may be present.</w:t>
            </w:r>
          </w:p>
        </w:tc>
        <w:tc>
          <w:tcPr>
            <w:tcW w:w="0" w:type="auto"/>
            <w:tcBorders>
              <w:left w:val="single" w:sz="6" w:space="0" w:color="D0D0D0"/>
              <w:bottom w:val="single" w:sz="6" w:space="0" w:color="D0D0D0"/>
            </w:tcBorders>
            <w:shd w:val="clear" w:color="auto" w:fill="FFFFFF"/>
            <w:hideMark/>
          </w:tcPr>
          <w:p w:rsidR="004C1CF5" w:rsidRPr="004C1CF5" w:rsidRDefault="004C1CF5" w:rsidP="004C1CF5">
            <w:pPr>
              <w:spacing w:line="210" w:lineRule="atLeast"/>
              <w:rPr>
                <w:rFonts w:ascii="Trebuchet MS" w:eastAsia="Times New Roman" w:hAnsi="Trebuchet MS" w:cs="Times New Roman"/>
                <w:color w:val="555555"/>
                <w:sz w:val="18"/>
                <w:szCs w:val="18"/>
              </w:rPr>
            </w:pPr>
            <w:r w:rsidRPr="004C1CF5">
              <w:rPr>
                <w:rFonts w:ascii="Trebuchet MS" w:eastAsia="Times New Roman" w:hAnsi="Trebuchet MS" w:cs="Times New Roman"/>
                <w:color w:val="555555"/>
                <w:sz w:val="18"/>
                <w:szCs w:val="18"/>
              </w:rPr>
              <w:t>Sources are documented, as appropriate to assignment and style, and format is mostly correct.</w:t>
            </w:r>
          </w:p>
        </w:tc>
        <w:tc>
          <w:tcPr>
            <w:tcW w:w="0" w:type="auto"/>
            <w:tcBorders>
              <w:left w:val="single" w:sz="6" w:space="0" w:color="D0D0D0"/>
              <w:bottom w:val="single" w:sz="6" w:space="0" w:color="D0D0D0"/>
            </w:tcBorders>
            <w:shd w:val="clear" w:color="auto" w:fill="FFFFFF"/>
            <w:hideMark/>
          </w:tcPr>
          <w:p w:rsidR="004C1CF5" w:rsidRPr="004C1CF5" w:rsidRDefault="004C1CF5" w:rsidP="004C1CF5">
            <w:pPr>
              <w:spacing w:line="210" w:lineRule="atLeast"/>
              <w:rPr>
                <w:rFonts w:ascii="Trebuchet MS" w:eastAsia="Times New Roman" w:hAnsi="Trebuchet MS" w:cs="Times New Roman"/>
                <w:color w:val="555555"/>
                <w:sz w:val="18"/>
                <w:szCs w:val="18"/>
              </w:rPr>
            </w:pPr>
            <w:r w:rsidRPr="004C1CF5">
              <w:rPr>
                <w:rFonts w:ascii="Trebuchet MS" w:eastAsia="Times New Roman" w:hAnsi="Trebuchet MS" w:cs="Times New Roman"/>
                <w:color w:val="555555"/>
                <w:sz w:val="18"/>
                <w:szCs w:val="18"/>
              </w:rPr>
              <w:t>Sources are completely and correctly documented, as appropriate to assignment and style, and format is free of error.</w:t>
            </w:r>
          </w:p>
        </w:tc>
        <w:tc>
          <w:tcPr>
            <w:tcW w:w="0" w:type="auto"/>
            <w:shd w:val="clear" w:color="auto" w:fill="FFFFFF"/>
            <w:vAlign w:val="center"/>
            <w:hideMark/>
          </w:tcPr>
          <w:p w:rsidR="004C1CF5" w:rsidRPr="004C1CF5" w:rsidRDefault="004C1CF5" w:rsidP="004C1CF5">
            <w:pPr>
              <w:rPr>
                <w:rFonts w:ascii="Times New Roman" w:eastAsia="Times New Roman" w:hAnsi="Times New Roman" w:cs="Times New Roman"/>
                <w:sz w:val="20"/>
                <w:szCs w:val="20"/>
              </w:rPr>
            </w:pPr>
          </w:p>
        </w:tc>
      </w:tr>
    </w:tbl>
    <w:p w:rsidR="00A2373D" w:rsidRDefault="00A2373D"/>
    <w:sectPr w:rsidR="00A2373D" w:rsidSect="004C1CF5">
      <w:pgSz w:w="15840" w:h="12240" w:orient="landscape"/>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4C1CF5"/>
    <w:rsid w:val="003B1B30"/>
    <w:rsid w:val="004C1CF5"/>
    <w:rsid w:val="008B635F"/>
    <w:rsid w:val="00A237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73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C1CF5"/>
    <w:rPr>
      <w:b/>
      <w:bCs/>
    </w:rPr>
  </w:style>
</w:styles>
</file>

<file path=word/webSettings.xml><?xml version="1.0" encoding="utf-8"?>
<w:webSettings xmlns:r="http://schemas.openxmlformats.org/officeDocument/2006/relationships" xmlns:w="http://schemas.openxmlformats.org/wordprocessingml/2006/main">
  <w:divs>
    <w:div w:id="49888149">
      <w:bodyDiv w:val="1"/>
      <w:marLeft w:val="0"/>
      <w:marRight w:val="0"/>
      <w:marTop w:val="0"/>
      <w:marBottom w:val="0"/>
      <w:divBdr>
        <w:top w:val="none" w:sz="0" w:space="0" w:color="auto"/>
        <w:left w:val="none" w:sz="0" w:space="0" w:color="auto"/>
        <w:bottom w:val="none" w:sz="0" w:space="0" w:color="auto"/>
        <w:right w:val="none" w:sz="0" w:space="0" w:color="auto"/>
      </w:divBdr>
      <w:divsChild>
        <w:div w:id="1114134689">
          <w:marLeft w:val="0"/>
          <w:marRight w:val="0"/>
          <w:marTop w:val="0"/>
          <w:marBottom w:val="0"/>
          <w:divBdr>
            <w:top w:val="none" w:sz="0" w:space="0" w:color="auto"/>
            <w:left w:val="none" w:sz="0" w:space="0" w:color="auto"/>
            <w:bottom w:val="none" w:sz="0" w:space="0" w:color="auto"/>
            <w:right w:val="none" w:sz="0" w:space="0" w:color="auto"/>
          </w:divBdr>
        </w:div>
        <w:div w:id="874850277">
          <w:marLeft w:val="0"/>
          <w:marRight w:val="0"/>
          <w:marTop w:val="0"/>
          <w:marBottom w:val="0"/>
          <w:divBdr>
            <w:top w:val="none" w:sz="0" w:space="0" w:color="auto"/>
            <w:left w:val="none" w:sz="0" w:space="0" w:color="auto"/>
            <w:bottom w:val="none" w:sz="0" w:space="0" w:color="auto"/>
            <w:right w:val="none" w:sz="0" w:space="0" w:color="auto"/>
          </w:divBdr>
        </w:div>
        <w:div w:id="477302475">
          <w:marLeft w:val="0"/>
          <w:marRight w:val="0"/>
          <w:marTop w:val="0"/>
          <w:marBottom w:val="0"/>
          <w:divBdr>
            <w:top w:val="none" w:sz="0" w:space="0" w:color="auto"/>
            <w:left w:val="none" w:sz="0" w:space="0" w:color="auto"/>
            <w:bottom w:val="none" w:sz="0" w:space="0" w:color="auto"/>
            <w:right w:val="none" w:sz="0" w:space="0" w:color="auto"/>
          </w:divBdr>
        </w:div>
        <w:div w:id="127817467">
          <w:marLeft w:val="0"/>
          <w:marRight w:val="0"/>
          <w:marTop w:val="0"/>
          <w:marBottom w:val="0"/>
          <w:divBdr>
            <w:top w:val="none" w:sz="0" w:space="0" w:color="auto"/>
            <w:left w:val="none" w:sz="0" w:space="0" w:color="auto"/>
            <w:bottom w:val="none" w:sz="0" w:space="0" w:color="auto"/>
            <w:right w:val="none" w:sz="0" w:space="0" w:color="auto"/>
          </w:divBdr>
        </w:div>
        <w:div w:id="270934657">
          <w:marLeft w:val="0"/>
          <w:marRight w:val="0"/>
          <w:marTop w:val="0"/>
          <w:marBottom w:val="0"/>
          <w:divBdr>
            <w:top w:val="none" w:sz="0" w:space="0" w:color="auto"/>
            <w:left w:val="none" w:sz="0" w:space="0" w:color="auto"/>
            <w:bottom w:val="none" w:sz="0" w:space="0" w:color="auto"/>
            <w:right w:val="none" w:sz="0" w:space="0" w:color="auto"/>
          </w:divBdr>
        </w:div>
        <w:div w:id="1066803295">
          <w:marLeft w:val="0"/>
          <w:marRight w:val="0"/>
          <w:marTop w:val="0"/>
          <w:marBottom w:val="0"/>
          <w:divBdr>
            <w:top w:val="none" w:sz="0" w:space="0" w:color="auto"/>
            <w:left w:val="none" w:sz="0" w:space="0" w:color="auto"/>
            <w:bottom w:val="none" w:sz="0" w:space="0" w:color="auto"/>
            <w:right w:val="none" w:sz="0" w:space="0" w:color="auto"/>
          </w:divBdr>
        </w:div>
        <w:div w:id="1830558061">
          <w:marLeft w:val="0"/>
          <w:marRight w:val="0"/>
          <w:marTop w:val="0"/>
          <w:marBottom w:val="0"/>
          <w:divBdr>
            <w:top w:val="none" w:sz="0" w:space="0" w:color="auto"/>
            <w:left w:val="none" w:sz="0" w:space="0" w:color="auto"/>
            <w:bottom w:val="none" w:sz="0" w:space="0" w:color="auto"/>
            <w:right w:val="none" w:sz="0" w:space="0" w:color="auto"/>
          </w:divBdr>
        </w:div>
        <w:div w:id="221983287">
          <w:marLeft w:val="0"/>
          <w:marRight w:val="0"/>
          <w:marTop w:val="0"/>
          <w:marBottom w:val="0"/>
          <w:divBdr>
            <w:top w:val="none" w:sz="0" w:space="0" w:color="auto"/>
            <w:left w:val="none" w:sz="0" w:space="0" w:color="auto"/>
            <w:bottom w:val="none" w:sz="0" w:space="0" w:color="auto"/>
            <w:right w:val="none" w:sz="0" w:space="0" w:color="auto"/>
          </w:divBdr>
        </w:div>
        <w:div w:id="2135976869">
          <w:marLeft w:val="0"/>
          <w:marRight w:val="0"/>
          <w:marTop w:val="0"/>
          <w:marBottom w:val="0"/>
          <w:divBdr>
            <w:top w:val="none" w:sz="0" w:space="0" w:color="auto"/>
            <w:left w:val="none" w:sz="0" w:space="0" w:color="auto"/>
            <w:bottom w:val="none" w:sz="0" w:space="0" w:color="auto"/>
            <w:right w:val="none" w:sz="0" w:space="0" w:color="auto"/>
          </w:divBdr>
        </w:div>
        <w:div w:id="921794258">
          <w:marLeft w:val="0"/>
          <w:marRight w:val="0"/>
          <w:marTop w:val="0"/>
          <w:marBottom w:val="0"/>
          <w:divBdr>
            <w:top w:val="none" w:sz="0" w:space="0" w:color="auto"/>
            <w:left w:val="none" w:sz="0" w:space="0" w:color="auto"/>
            <w:bottom w:val="none" w:sz="0" w:space="0" w:color="auto"/>
            <w:right w:val="none" w:sz="0" w:space="0" w:color="auto"/>
          </w:divBdr>
        </w:div>
        <w:div w:id="1925408195">
          <w:marLeft w:val="0"/>
          <w:marRight w:val="0"/>
          <w:marTop w:val="0"/>
          <w:marBottom w:val="0"/>
          <w:divBdr>
            <w:top w:val="none" w:sz="0" w:space="0" w:color="auto"/>
            <w:left w:val="none" w:sz="0" w:space="0" w:color="auto"/>
            <w:bottom w:val="none" w:sz="0" w:space="0" w:color="auto"/>
            <w:right w:val="none" w:sz="0" w:space="0" w:color="auto"/>
          </w:divBdr>
        </w:div>
        <w:div w:id="521096088">
          <w:marLeft w:val="0"/>
          <w:marRight w:val="0"/>
          <w:marTop w:val="0"/>
          <w:marBottom w:val="0"/>
          <w:divBdr>
            <w:top w:val="none" w:sz="0" w:space="0" w:color="auto"/>
            <w:left w:val="none" w:sz="0" w:space="0" w:color="auto"/>
            <w:bottom w:val="none" w:sz="0" w:space="0" w:color="auto"/>
            <w:right w:val="none" w:sz="0" w:space="0" w:color="auto"/>
          </w:divBdr>
        </w:div>
        <w:div w:id="298461155">
          <w:marLeft w:val="0"/>
          <w:marRight w:val="0"/>
          <w:marTop w:val="0"/>
          <w:marBottom w:val="0"/>
          <w:divBdr>
            <w:top w:val="none" w:sz="0" w:space="0" w:color="auto"/>
            <w:left w:val="none" w:sz="0" w:space="0" w:color="auto"/>
            <w:bottom w:val="none" w:sz="0" w:space="0" w:color="auto"/>
            <w:right w:val="none" w:sz="0" w:space="0" w:color="auto"/>
          </w:divBdr>
        </w:div>
        <w:div w:id="1116371233">
          <w:marLeft w:val="0"/>
          <w:marRight w:val="0"/>
          <w:marTop w:val="0"/>
          <w:marBottom w:val="0"/>
          <w:divBdr>
            <w:top w:val="none" w:sz="0" w:space="0" w:color="auto"/>
            <w:left w:val="none" w:sz="0" w:space="0" w:color="auto"/>
            <w:bottom w:val="none" w:sz="0" w:space="0" w:color="auto"/>
            <w:right w:val="none" w:sz="0" w:space="0" w:color="auto"/>
          </w:divBdr>
        </w:div>
        <w:div w:id="464204790">
          <w:marLeft w:val="0"/>
          <w:marRight w:val="0"/>
          <w:marTop w:val="0"/>
          <w:marBottom w:val="0"/>
          <w:divBdr>
            <w:top w:val="none" w:sz="0" w:space="0" w:color="auto"/>
            <w:left w:val="none" w:sz="0" w:space="0" w:color="auto"/>
            <w:bottom w:val="none" w:sz="0" w:space="0" w:color="auto"/>
            <w:right w:val="none" w:sz="0" w:space="0" w:color="auto"/>
          </w:divBdr>
        </w:div>
        <w:div w:id="136804564">
          <w:marLeft w:val="0"/>
          <w:marRight w:val="0"/>
          <w:marTop w:val="0"/>
          <w:marBottom w:val="0"/>
          <w:divBdr>
            <w:top w:val="none" w:sz="0" w:space="0" w:color="auto"/>
            <w:left w:val="none" w:sz="0" w:space="0" w:color="auto"/>
            <w:bottom w:val="none" w:sz="0" w:space="0" w:color="auto"/>
            <w:right w:val="none" w:sz="0" w:space="0" w:color="auto"/>
          </w:divBdr>
        </w:div>
        <w:div w:id="401106406">
          <w:marLeft w:val="0"/>
          <w:marRight w:val="0"/>
          <w:marTop w:val="0"/>
          <w:marBottom w:val="0"/>
          <w:divBdr>
            <w:top w:val="none" w:sz="0" w:space="0" w:color="auto"/>
            <w:left w:val="none" w:sz="0" w:space="0" w:color="auto"/>
            <w:bottom w:val="none" w:sz="0" w:space="0" w:color="auto"/>
            <w:right w:val="none" w:sz="0" w:space="0" w:color="auto"/>
          </w:divBdr>
        </w:div>
        <w:div w:id="1578587586">
          <w:marLeft w:val="0"/>
          <w:marRight w:val="0"/>
          <w:marTop w:val="0"/>
          <w:marBottom w:val="0"/>
          <w:divBdr>
            <w:top w:val="none" w:sz="0" w:space="0" w:color="auto"/>
            <w:left w:val="none" w:sz="0" w:space="0" w:color="auto"/>
            <w:bottom w:val="none" w:sz="0" w:space="0" w:color="auto"/>
            <w:right w:val="none" w:sz="0" w:space="0" w:color="auto"/>
          </w:divBdr>
        </w:div>
        <w:div w:id="207764480">
          <w:marLeft w:val="0"/>
          <w:marRight w:val="0"/>
          <w:marTop w:val="0"/>
          <w:marBottom w:val="0"/>
          <w:divBdr>
            <w:top w:val="none" w:sz="0" w:space="0" w:color="auto"/>
            <w:left w:val="none" w:sz="0" w:space="0" w:color="auto"/>
            <w:bottom w:val="none" w:sz="0" w:space="0" w:color="auto"/>
            <w:right w:val="none" w:sz="0" w:space="0" w:color="auto"/>
          </w:divBdr>
        </w:div>
        <w:div w:id="1792505557">
          <w:marLeft w:val="0"/>
          <w:marRight w:val="0"/>
          <w:marTop w:val="0"/>
          <w:marBottom w:val="0"/>
          <w:divBdr>
            <w:top w:val="none" w:sz="0" w:space="0" w:color="auto"/>
            <w:left w:val="none" w:sz="0" w:space="0" w:color="auto"/>
            <w:bottom w:val="none" w:sz="0" w:space="0" w:color="auto"/>
            <w:right w:val="none" w:sz="0" w:space="0" w:color="auto"/>
          </w:divBdr>
        </w:div>
        <w:div w:id="2011329710">
          <w:marLeft w:val="0"/>
          <w:marRight w:val="0"/>
          <w:marTop w:val="0"/>
          <w:marBottom w:val="0"/>
          <w:divBdr>
            <w:top w:val="none" w:sz="0" w:space="0" w:color="auto"/>
            <w:left w:val="none" w:sz="0" w:space="0" w:color="auto"/>
            <w:bottom w:val="none" w:sz="0" w:space="0" w:color="auto"/>
            <w:right w:val="none" w:sz="0" w:space="0" w:color="auto"/>
          </w:divBdr>
        </w:div>
        <w:div w:id="1703945362">
          <w:marLeft w:val="0"/>
          <w:marRight w:val="0"/>
          <w:marTop w:val="0"/>
          <w:marBottom w:val="0"/>
          <w:divBdr>
            <w:top w:val="none" w:sz="0" w:space="0" w:color="auto"/>
            <w:left w:val="none" w:sz="0" w:space="0" w:color="auto"/>
            <w:bottom w:val="none" w:sz="0" w:space="0" w:color="auto"/>
            <w:right w:val="none" w:sz="0" w:space="0" w:color="auto"/>
          </w:divBdr>
        </w:div>
        <w:div w:id="45761133">
          <w:marLeft w:val="0"/>
          <w:marRight w:val="0"/>
          <w:marTop w:val="0"/>
          <w:marBottom w:val="0"/>
          <w:divBdr>
            <w:top w:val="none" w:sz="0" w:space="0" w:color="auto"/>
            <w:left w:val="none" w:sz="0" w:space="0" w:color="auto"/>
            <w:bottom w:val="none" w:sz="0" w:space="0" w:color="auto"/>
            <w:right w:val="none" w:sz="0" w:space="0" w:color="auto"/>
          </w:divBdr>
        </w:div>
        <w:div w:id="1787118344">
          <w:marLeft w:val="0"/>
          <w:marRight w:val="0"/>
          <w:marTop w:val="0"/>
          <w:marBottom w:val="0"/>
          <w:divBdr>
            <w:top w:val="none" w:sz="0" w:space="0" w:color="auto"/>
            <w:left w:val="none" w:sz="0" w:space="0" w:color="auto"/>
            <w:bottom w:val="none" w:sz="0" w:space="0" w:color="auto"/>
            <w:right w:val="none" w:sz="0" w:space="0" w:color="auto"/>
          </w:divBdr>
        </w:div>
        <w:div w:id="800996586">
          <w:marLeft w:val="0"/>
          <w:marRight w:val="0"/>
          <w:marTop w:val="0"/>
          <w:marBottom w:val="0"/>
          <w:divBdr>
            <w:top w:val="none" w:sz="0" w:space="0" w:color="auto"/>
            <w:left w:val="none" w:sz="0" w:space="0" w:color="auto"/>
            <w:bottom w:val="none" w:sz="0" w:space="0" w:color="auto"/>
            <w:right w:val="none" w:sz="0" w:space="0" w:color="auto"/>
          </w:divBdr>
        </w:div>
        <w:div w:id="2115326104">
          <w:marLeft w:val="0"/>
          <w:marRight w:val="0"/>
          <w:marTop w:val="0"/>
          <w:marBottom w:val="0"/>
          <w:divBdr>
            <w:top w:val="none" w:sz="0" w:space="0" w:color="auto"/>
            <w:left w:val="none" w:sz="0" w:space="0" w:color="auto"/>
            <w:bottom w:val="none" w:sz="0" w:space="0" w:color="auto"/>
            <w:right w:val="none" w:sz="0" w:space="0" w:color="auto"/>
          </w:divBdr>
        </w:div>
        <w:div w:id="125245462">
          <w:marLeft w:val="0"/>
          <w:marRight w:val="0"/>
          <w:marTop w:val="0"/>
          <w:marBottom w:val="0"/>
          <w:divBdr>
            <w:top w:val="none" w:sz="0" w:space="0" w:color="auto"/>
            <w:left w:val="none" w:sz="0" w:space="0" w:color="auto"/>
            <w:bottom w:val="none" w:sz="0" w:space="0" w:color="auto"/>
            <w:right w:val="none" w:sz="0" w:space="0" w:color="auto"/>
          </w:divBdr>
        </w:div>
        <w:div w:id="241724690">
          <w:marLeft w:val="0"/>
          <w:marRight w:val="0"/>
          <w:marTop w:val="0"/>
          <w:marBottom w:val="0"/>
          <w:divBdr>
            <w:top w:val="none" w:sz="0" w:space="0" w:color="auto"/>
            <w:left w:val="none" w:sz="0" w:space="0" w:color="auto"/>
            <w:bottom w:val="none" w:sz="0" w:space="0" w:color="auto"/>
            <w:right w:val="none" w:sz="0" w:space="0" w:color="auto"/>
          </w:divBdr>
        </w:div>
        <w:div w:id="1821847428">
          <w:marLeft w:val="0"/>
          <w:marRight w:val="0"/>
          <w:marTop w:val="0"/>
          <w:marBottom w:val="0"/>
          <w:divBdr>
            <w:top w:val="none" w:sz="0" w:space="0" w:color="auto"/>
            <w:left w:val="none" w:sz="0" w:space="0" w:color="auto"/>
            <w:bottom w:val="none" w:sz="0" w:space="0" w:color="auto"/>
            <w:right w:val="none" w:sz="0" w:space="0" w:color="auto"/>
          </w:divBdr>
        </w:div>
        <w:div w:id="1968395290">
          <w:marLeft w:val="0"/>
          <w:marRight w:val="0"/>
          <w:marTop w:val="0"/>
          <w:marBottom w:val="0"/>
          <w:divBdr>
            <w:top w:val="none" w:sz="0" w:space="0" w:color="auto"/>
            <w:left w:val="none" w:sz="0" w:space="0" w:color="auto"/>
            <w:bottom w:val="none" w:sz="0" w:space="0" w:color="auto"/>
            <w:right w:val="none" w:sz="0" w:space="0" w:color="auto"/>
          </w:divBdr>
        </w:div>
        <w:div w:id="2030637802">
          <w:marLeft w:val="0"/>
          <w:marRight w:val="0"/>
          <w:marTop w:val="0"/>
          <w:marBottom w:val="0"/>
          <w:divBdr>
            <w:top w:val="none" w:sz="0" w:space="0" w:color="auto"/>
            <w:left w:val="none" w:sz="0" w:space="0" w:color="auto"/>
            <w:bottom w:val="none" w:sz="0" w:space="0" w:color="auto"/>
            <w:right w:val="none" w:sz="0" w:space="0" w:color="auto"/>
          </w:divBdr>
        </w:div>
        <w:div w:id="464081331">
          <w:marLeft w:val="0"/>
          <w:marRight w:val="0"/>
          <w:marTop w:val="0"/>
          <w:marBottom w:val="0"/>
          <w:divBdr>
            <w:top w:val="none" w:sz="0" w:space="0" w:color="auto"/>
            <w:left w:val="none" w:sz="0" w:space="0" w:color="auto"/>
            <w:bottom w:val="none" w:sz="0" w:space="0" w:color="auto"/>
            <w:right w:val="none" w:sz="0" w:space="0" w:color="auto"/>
          </w:divBdr>
        </w:div>
        <w:div w:id="1513835128">
          <w:marLeft w:val="0"/>
          <w:marRight w:val="0"/>
          <w:marTop w:val="0"/>
          <w:marBottom w:val="0"/>
          <w:divBdr>
            <w:top w:val="none" w:sz="0" w:space="0" w:color="auto"/>
            <w:left w:val="none" w:sz="0" w:space="0" w:color="auto"/>
            <w:bottom w:val="none" w:sz="0" w:space="0" w:color="auto"/>
            <w:right w:val="none" w:sz="0" w:space="0" w:color="auto"/>
          </w:divBdr>
        </w:div>
        <w:div w:id="2048797">
          <w:marLeft w:val="0"/>
          <w:marRight w:val="0"/>
          <w:marTop w:val="0"/>
          <w:marBottom w:val="0"/>
          <w:divBdr>
            <w:top w:val="none" w:sz="0" w:space="0" w:color="auto"/>
            <w:left w:val="none" w:sz="0" w:space="0" w:color="auto"/>
            <w:bottom w:val="none" w:sz="0" w:space="0" w:color="auto"/>
            <w:right w:val="none" w:sz="0" w:space="0" w:color="auto"/>
          </w:divBdr>
        </w:div>
        <w:div w:id="1529179462">
          <w:marLeft w:val="0"/>
          <w:marRight w:val="0"/>
          <w:marTop w:val="0"/>
          <w:marBottom w:val="0"/>
          <w:divBdr>
            <w:top w:val="none" w:sz="0" w:space="0" w:color="auto"/>
            <w:left w:val="none" w:sz="0" w:space="0" w:color="auto"/>
            <w:bottom w:val="none" w:sz="0" w:space="0" w:color="auto"/>
            <w:right w:val="none" w:sz="0" w:space="0" w:color="auto"/>
          </w:divBdr>
        </w:div>
        <w:div w:id="775633058">
          <w:marLeft w:val="0"/>
          <w:marRight w:val="0"/>
          <w:marTop w:val="0"/>
          <w:marBottom w:val="0"/>
          <w:divBdr>
            <w:top w:val="none" w:sz="0" w:space="0" w:color="auto"/>
            <w:left w:val="none" w:sz="0" w:space="0" w:color="auto"/>
            <w:bottom w:val="none" w:sz="0" w:space="0" w:color="auto"/>
            <w:right w:val="none" w:sz="0" w:space="0" w:color="auto"/>
          </w:divBdr>
        </w:div>
        <w:div w:id="916553657">
          <w:marLeft w:val="0"/>
          <w:marRight w:val="0"/>
          <w:marTop w:val="0"/>
          <w:marBottom w:val="0"/>
          <w:divBdr>
            <w:top w:val="none" w:sz="0" w:space="0" w:color="auto"/>
            <w:left w:val="none" w:sz="0" w:space="0" w:color="auto"/>
            <w:bottom w:val="none" w:sz="0" w:space="0" w:color="auto"/>
            <w:right w:val="none" w:sz="0" w:space="0" w:color="auto"/>
          </w:divBdr>
        </w:div>
        <w:div w:id="113330867">
          <w:marLeft w:val="0"/>
          <w:marRight w:val="0"/>
          <w:marTop w:val="0"/>
          <w:marBottom w:val="0"/>
          <w:divBdr>
            <w:top w:val="none" w:sz="0" w:space="0" w:color="auto"/>
            <w:left w:val="none" w:sz="0" w:space="0" w:color="auto"/>
            <w:bottom w:val="none" w:sz="0" w:space="0" w:color="auto"/>
            <w:right w:val="none" w:sz="0" w:space="0" w:color="auto"/>
          </w:divBdr>
        </w:div>
        <w:div w:id="1662348108">
          <w:marLeft w:val="0"/>
          <w:marRight w:val="0"/>
          <w:marTop w:val="0"/>
          <w:marBottom w:val="0"/>
          <w:divBdr>
            <w:top w:val="none" w:sz="0" w:space="0" w:color="auto"/>
            <w:left w:val="none" w:sz="0" w:space="0" w:color="auto"/>
            <w:bottom w:val="none" w:sz="0" w:space="0" w:color="auto"/>
            <w:right w:val="none" w:sz="0" w:space="0" w:color="auto"/>
          </w:divBdr>
        </w:div>
        <w:div w:id="1538081539">
          <w:marLeft w:val="0"/>
          <w:marRight w:val="0"/>
          <w:marTop w:val="0"/>
          <w:marBottom w:val="0"/>
          <w:divBdr>
            <w:top w:val="none" w:sz="0" w:space="0" w:color="auto"/>
            <w:left w:val="none" w:sz="0" w:space="0" w:color="auto"/>
            <w:bottom w:val="none" w:sz="0" w:space="0" w:color="auto"/>
            <w:right w:val="none" w:sz="0" w:space="0" w:color="auto"/>
          </w:divBdr>
        </w:div>
        <w:div w:id="1573806265">
          <w:marLeft w:val="0"/>
          <w:marRight w:val="0"/>
          <w:marTop w:val="0"/>
          <w:marBottom w:val="0"/>
          <w:divBdr>
            <w:top w:val="none" w:sz="0" w:space="0" w:color="auto"/>
            <w:left w:val="none" w:sz="0" w:space="0" w:color="auto"/>
            <w:bottom w:val="none" w:sz="0" w:space="0" w:color="auto"/>
            <w:right w:val="none" w:sz="0" w:space="0" w:color="auto"/>
          </w:divBdr>
        </w:div>
        <w:div w:id="757484898">
          <w:marLeft w:val="0"/>
          <w:marRight w:val="0"/>
          <w:marTop w:val="0"/>
          <w:marBottom w:val="0"/>
          <w:divBdr>
            <w:top w:val="none" w:sz="0" w:space="0" w:color="auto"/>
            <w:left w:val="none" w:sz="0" w:space="0" w:color="auto"/>
            <w:bottom w:val="none" w:sz="0" w:space="0" w:color="auto"/>
            <w:right w:val="none" w:sz="0" w:space="0" w:color="auto"/>
          </w:divBdr>
        </w:div>
        <w:div w:id="1148477537">
          <w:marLeft w:val="0"/>
          <w:marRight w:val="0"/>
          <w:marTop w:val="0"/>
          <w:marBottom w:val="0"/>
          <w:divBdr>
            <w:top w:val="none" w:sz="0" w:space="0" w:color="auto"/>
            <w:left w:val="none" w:sz="0" w:space="0" w:color="auto"/>
            <w:bottom w:val="none" w:sz="0" w:space="0" w:color="auto"/>
            <w:right w:val="none" w:sz="0" w:space="0" w:color="auto"/>
          </w:divBdr>
        </w:div>
        <w:div w:id="255870403">
          <w:marLeft w:val="0"/>
          <w:marRight w:val="0"/>
          <w:marTop w:val="0"/>
          <w:marBottom w:val="0"/>
          <w:divBdr>
            <w:top w:val="none" w:sz="0" w:space="0" w:color="auto"/>
            <w:left w:val="none" w:sz="0" w:space="0" w:color="auto"/>
            <w:bottom w:val="none" w:sz="0" w:space="0" w:color="auto"/>
            <w:right w:val="none" w:sz="0" w:space="0" w:color="auto"/>
          </w:divBdr>
        </w:div>
        <w:div w:id="1940063758">
          <w:marLeft w:val="0"/>
          <w:marRight w:val="0"/>
          <w:marTop w:val="0"/>
          <w:marBottom w:val="0"/>
          <w:divBdr>
            <w:top w:val="none" w:sz="0" w:space="0" w:color="auto"/>
            <w:left w:val="none" w:sz="0" w:space="0" w:color="auto"/>
            <w:bottom w:val="none" w:sz="0" w:space="0" w:color="auto"/>
            <w:right w:val="none" w:sz="0" w:space="0" w:color="auto"/>
          </w:divBdr>
        </w:div>
        <w:div w:id="1415122741">
          <w:marLeft w:val="0"/>
          <w:marRight w:val="0"/>
          <w:marTop w:val="0"/>
          <w:marBottom w:val="0"/>
          <w:divBdr>
            <w:top w:val="none" w:sz="0" w:space="0" w:color="auto"/>
            <w:left w:val="none" w:sz="0" w:space="0" w:color="auto"/>
            <w:bottom w:val="none" w:sz="0" w:space="0" w:color="auto"/>
            <w:right w:val="none" w:sz="0" w:space="0" w:color="auto"/>
          </w:divBdr>
        </w:div>
        <w:div w:id="2112894095">
          <w:marLeft w:val="0"/>
          <w:marRight w:val="0"/>
          <w:marTop w:val="0"/>
          <w:marBottom w:val="0"/>
          <w:divBdr>
            <w:top w:val="none" w:sz="0" w:space="0" w:color="auto"/>
            <w:left w:val="none" w:sz="0" w:space="0" w:color="auto"/>
            <w:bottom w:val="none" w:sz="0" w:space="0" w:color="auto"/>
            <w:right w:val="none" w:sz="0" w:space="0" w:color="auto"/>
          </w:divBdr>
        </w:div>
        <w:div w:id="1592081694">
          <w:marLeft w:val="0"/>
          <w:marRight w:val="0"/>
          <w:marTop w:val="0"/>
          <w:marBottom w:val="0"/>
          <w:divBdr>
            <w:top w:val="none" w:sz="0" w:space="0" w:color="auto"/>
            <w:left w:val="none" w:sz="0" w:space="0" w:color="auto"/>
            <w:bottom w:val="none" w:sz="0" w:space="0" w:color="auto"/>
            <w:right w:val="none" w:sz="0" w:space="0" w:color="auto"/>
          </w:divBdr>
        </w:div>
        <w:div w:id="1285965909">
          <w:marLeft w:val="0"/>
          <w:marRight w:val="0"/>
          <w:marTop w:val="0"/>
          <w:marBottom w:val="0"/>
          <w:divBdr>
            <w:top w:val="none" w:sz="0" w:space="0" w:color="auto"/>
            <w:left w:val="none" w:sz="0" w:space="0" w:color="auto"/>
            <w:bottom w:val="none" w:sz="0" w:space="0" w:color="auto"/>
            <w:right w:val="none" w:sz="0" w:space="0" w:color="auto"/>
          </w:divBdr>
        </w:div>
        <w:div w:id="328946266">
          <w:marLeft w:val="0"/>
          <w:marRight w:val="0"/>
          <w:marTop w:val="0"/>
          <w:marBottom w:val="0"/>
          <w:divBdr>
            <w:top w:val="none" w:sz="0" w:space="0" w:color="auto"/>
            <w:left w:val="none" w:sz="0" w:space="0" w:color="auto"/>
            <w:bottom w:val="none" w:sz="0" w:space="0" w:color="auto"/>
            <w:right w:val="none" w:sz="0" w:space="0" w:color="auto"/>
          </w:divBdr>
        </w:div>
        <w:div w:id="1823303202">
          <w:marLeft w:val="0"/>
          <w:marRight w:val="0"/>
          <w:marTop w:val="0"/>
          <w:marBottom w:val="0"/>
          <w:divBdr>
            <w:top w:val="none" w:sz="0" w:space="0" w:color="auto"/>
            <w:left w:val="none" w:sz="0" w:space="0" w:color="auto"/>
            <w:bottom w:val="none" w:sz="0" w:space="0" w:color="auto"/>
            <w:right w:val="none" w:sz="0" w:space="0" w:color="auto"/>
          </w:divBdr>
        </w:div>
        <w:div w:id="1089349505">
          <w:marLeft w:val="0"/>
          <w:marRight w:val="0"/>
          <w:marTop w:val="0"/>
          <w:marBottom w:val="0"/>
          <w:divBdr>
            <w:top w:val="none" w:sz="0" w:space="0" w:color="auto"/>
            <w:left w:val="none" w:sz="0" w:space="0" w:color="auto"/>
            <w:bottom w:val="none" w:sz="0" w:space="0" w:color="auto"/>
            <w:right w:val="none" w:sz="0" w:space="0" w:color="auto"/>
          </w:divBdr>
        </w:div>
        <w:div w:id="405807419">
          <w:marLeft w:val="0"/>
          <w:marRight w:val="0"/>
          <w:marTop w:val="0"/>
          <w:marBottom w:val="0"/>
          <w:divBdr>
            <w:top w:val="none" w:sz="0" w:space="0" w:color="auto"/>
            <w:left w:val="none" w:sz="0" w:space="0" w:color="auto"/>
            <w:bottom w:val="none" w:sz="0" w:space="0" w:color="auto"/>
            <w:right w:val="none" w:sz="0" w:space="0" w:color="auto"/>
          </w:divBdr>
        </w:div>
        <w:div w:id="1750927839">
          <w:marLeft w:val="0"/>
          <w:marRight w:val="0"/>
          <w:marTop w:val="0"/>
          <w:marBottom w:val="0"/>
          <w:divBdr>
            <w:top w:val="none" w:sz="0" w:space="0" w:color="auto"/>
            <w:left w:val="none" w:sz="0" w:space="0" w:color="auto"/>
            <w:bottom w:val="none" w:sz="0" w:space="0" w:color="auto"/>
            <w:right w:val="none" w:sz="0" w:space="0" w:color="auto"/>
          </w:divBdr>
        </w:div>
        <w:div w:id="697046445">
          <w:marLeft w:val="0"/>
          <w:marRight w:val="0"/>
          <w:marTop w:val="0"/>
          <w:marBottom w:val="0"/>
          <w:divBdr>
            <w:top w:val="none" w:sz="0" w:space="0" w:color="auto"/>
            <w:left w:val="none" w:sz="0" w:space="0" w:color="auto"/>
            <w:bottom w:val="none" w:sz="0" w:space="0" w:color="auto"/>
            <w:right w:val="none" w:sz="0" w:space="0" w:color="auto"/>
          </w:divBdr>
        </w:div>
        <w:div w:id="492139433">
          <w:marLeft w:val="0"/>
          <w:marRight w:val="0"/>
          <w:marTop w:val="0"/>
          <w:marBottom w:val="0"/>
          <w:divBdr>
            <w:top w:val="none" w:sz="0" w:space="0" w:color="auto"/>
            <w:left w:val="none" w:sz="0" w:space="0" w:color="auto"/>
            <w:bottom w:val="none" w:sz="0" w:space="0" w:color="auto"/>
            <w:right w:val="none" w:sz="0" w:space="0" w:color="auto"/>
          </w:divBdr>
        </w:div>
        <w:div w:id="1181241790">
          <w:marLeft w:val="0"/>
          <w:marRight w:val="0"/>
          <w:marTop w:val="0"/>
          <w:marBottom w:val="0"/>
          <w:divBdr>
            <w:top w:val="none" w:sz="0" w:space="0" w:color="auto"/>
            <w:left w:val="none" w:sz="0" w:space="0" w:color="auto"/>
            <w:bottom w:val="none" w:sz="0" w:space="0" w:color="auto"/>
            <w:right w:val="none" w:sz="0" w:space="0" w:color="auto"/>
          </w:divBdr>
        </w:div>
        <w:div w:id="2037385976">
          <w:marLeft w:val="0"/>
          <w:marRight w:val="0"/>
          <w:marTop w:val="0"/>
          <w:marBottom w:val="0"/>
          <w:divBdr>
            <w:top w:val="none" w:sz="0" w:space="0" w:color="auto"/>
            <w:left w:val="none" w:sz="0" w:space="0" w:color="auto"/>
            <w:bottom w:val="none" w:sz="0" w:space="0" w:color="auto"/>
            <w:right w:val="none" w:sz="0" w:space="0" w:color="auto"/>
          </w:divBdr>
        </w:div>
        <w:div w:id="1440099629">
          <w:marLeft w:val="0"/>
          <w:marRight w:val="0"/>
          <w:marTop w:val="0"/>
          <w:marBottom w:val="0"/>
          <w:divBdr>
            <w:top w:val="none" w:sz="0" w:space="0" w:color="auto"/>
            <w:left w:val="none" w:sz="0" w:space="0" w:color="auto"/>
            <w:bottom w:val="none" w:sz="0" w:space="0" w:color="auto"/>
            <w:right w:val="none" w:sz="0" w:space="0" w:color="auto"/>
          </w:divBdr>
        </w:div>
        <w:div w:id="579217571">
          <w:marLeft w:val="0"/>
          <w:marRight w:val="0"/>
          <w:marTop w:val="0"/>
          <w:marBottom w:val="0"/>
          <w:divBdr>
            <w:top w:val="none" w:sz="0" w:space="0" w:color="auto"/>
            <w:left w:val="none" w:sz="0" w:space="0" w:color="auto"/>
            <w:bottom w:val="none" w:sz="0" w:space="0" w:color="auto"/>
            <w:right w:val="none" w:sz="0" w:space="0" w:color="auto"/>
          </w:divBdr>
        </w:div>
        <w:div w:id="219677206">
          <w:marLeft w:val="0"/>
          <w:marRight w:val="0"/>
          <w:marTop w:val="0"/>
          <w:marBottom w:val="0"/>
          <w:divBdr>
            <w:top w:val="none" w:sz="0" w:space="0" w:color="auto"/>
            <w:left w:val="none" w:sz="0" w:space="0" w:color="auto"/>
            <w:bottom w:val="none" w:sz="0" w:space="0" w:color="auto"/>
            <w:right w:val="none" w:sz="0" w:space="0" w:color="auto"/>
          </w:divBdr>
        </w:div>
        <w:div w:id="15087152">
          <w:marLeft w:val="0"/>
          <w:marRight w:val="0"/>
          <w:marTop w:val="0"/>
          <w:marBottom w:val="0"/>
          <w:divBdr>
            <w:top w:val="none" w:sz="0" w:space="0" w:color="auto"/>
            <w:left w:val="none" w:sz="0" w:space="0" w:color="auto"/>
            <w:bottom w:val="none" w:sz="0" w:space="0" w:color="auto"/>
            <w:right w:val="none" w:sz="0" w:space="0" w:color="auto"/>
          </w:divBdr>
        </w:div>
        <w:div w:id="1772043045">
          <w:marLeft w:val="0"/>
          <w:marRight w:val="0"/>
          <w:marTop w:val="0"/>
          <w:marBottom w:val="0"/>
          <w:divBdr>
            <w:top w:val="none" w:sz="0" w:space="0" w:color="auto"/>
            <w:left w:val="none" w:sz="0" w:space="0" w:color="auto"/>
            <w:bottom w:val="none" w:sz="0" w:space="0" w:color="auto"/>
            <w:right w:val="none" w:sz="0" w:space="0" w:color="auto"/>
          </w:divBdr>
        </w:div>
        <w:div w:id="305670541">
          <w:marLeft w:val="0"/>
          <w:marRight w:val="0"/>
          <w:marTop w:val="0"/>
          <w:marBottom w:val="0"/>
          <w:divBdr>
            <w:top w:val="none" w:sz="0" w:space="0" w:color="auto"/>
            <w:left w:val="none" w:sz="0" w:space="0" w:color="auto"/>
            <w:bottom w:val="none" w:sz="0" w:space="0" w:color="auto"/>
            <w:right w:val="none" w:sz="0" w:space="0" w:color="auto"/>
          </w:divBdr>
        </w:div>
        <w:div w:id="4296626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1609</Words>
  <Characters>9175</Characters>
  <Application>Microsoft Office Word</Application>
  <DocSecurity>0</DocSecurity>
  <Lines>76</Lines>
  <Paragraphs>21</Paragraphs>
  <ScaleCrop>false</ScaleCrop>
  <Company>Microsoft</Company>
  <LinksUpToDate>false</LinksUpToDate>
  <CharactersWithSpaces>10763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jedwards</dc:creator>
  <cp:lastModifiedBy>jedwards</cp:lastModifiedBy>
  <cp:revision>1</cp:revision>
  <dcterms:created xsi:type="dcterms:W3CDTF">2018-02-12T04:10:00Z</dcterms:created>
  <dcterms:modified xsi:type="dcterms:W3CDTF">2018-02-12T04:11:00Z</dcterms:modified>
</cp:coreProperties>
</file>