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C868" w14:textId="77777777" w:rsidR="00E604B1" w:rsidRPr="00B64906" w:rsidRDefault="00E604B1" w:rsidP="00E604B1">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rPr>
      </w:pPr>
      <w:r w:rsidRPr="00B64906">
        <w:rPr>
          <w:rFonts w:ascii="Consolas" w:eastAsia="Times New Roman" w:hAnsi="Consolas" w:cs="Consolas"/>
          <w:b/>
          <w:bCs/>
          <w:color w:val="7030A0"/>
          <w:sz w:val="28"/>
          <w:szCs w:val="28"/>
        </w:rPr>
        <w:t>Netiquette and Participation i</w:t>
      </w:r>
      <w:bookmarkStart w:id="0" w:name="_GoBack"/>
      <w:bookmarkEnd w:id="0"/>
      <w:r w:rsidRPr="00B64906">
        <w:rPr>
          <w:rFonts w:ascii="Consolas" w:eastAsia="Times New Roman" w:hAnsi="Consolas" w:cs="Consolas"/>
          <w:b/>
          <w:bCs/>
          <w:color w:val="7030A0"/>
          <w:sz w:val="28"/>
          <w:szCs w:val="28"/>
        </w:rPr>
        <w:t>n the Online Classroom</w:t>
      </w:r>
      <w:r w:rsidRPr="00E604B1">
        <w:rPr>
          <w:rFonts w:ascii="Consolas" w:eastAsia="Times New Roman" w:hAnsi="Consolas" w:cs="Consolas"/>
          <w:b/>
          <w:bCs/>
          <w:color w:val="7030A0"/>
          <w:sz w:val="28"/>
          <w:szCs w:val="28"/>
        </w:rPr>
        <w:t>:</w:t>
      </w:r>
      <w:r w:rsidRPr="00B64906">
        <w:rPr>
          <w:rFonts w:ascii="Consolas" w:eastAsia="Times New Roman" w:hAnsi="Consolas" w:cs="Consolas"/>
          <w:b/>
          <w:bCs/>
          <w:color w:val="7030A0"/>
          <w:sz w:val="28"/>
          <w:szCs w:val="28"/>
        </w:rPr>
        <w:t xml:space="preserve"> </w:t>
      </w:r>
    </w:p>
    <w:p w14:paraId="3F813584" w14:textId="77777777" w:rsidR="00E604B1" w:rsidRPr="00B64906" w:rsidRDefault="00E604B1" w:rsidP="00E604B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64906">
        <w:rPr>
          <w:rFonts w:ascii="ArialMT" w:eastAsia="Times New Roman" w:hAnsi="ArialMT" w:cs="Times New Roman"/>
          <w:sz w:val="20"/>
          <w:szCs w:val="20"/>
        </w:rPr>
        <w:t xml:space="preserve">Please use complete sentences and proper grammar in your discussion posts. Be respectful of others opinions and contributions. Keep in mind that we all have something unique to contribute to this class. One of the best ways to show that you appreciate contributions is to offer thoughtful feedback on your classmate’s efforts. Accept help when you need it and offer it when you can. </w:t>
      </w:r>
    </w:p>
    <w:p w14:paraId="5AEEECD5" w14:textId="77777777" w:rsidR="00E604B1" w:rsidRDefault="00E604B1" w:rsidP="00E604B1">
      <w:pPr>
        <w:shd w:val="clear" w:color="auto" w:fill="FFFFFF"/>
        <w:spacing w:before="100" w:beforeAutospacing="1" w:after="100" w:afterAutospacing="1" w:line="240" w:lineRule="auto"/>
        <w:rPr>
          <w:rFonts w:ascii="ArialMT" w:eastAsia="Times New Roman" w:hAnsi="ArialMT" w:cs="Times New Roman"/>
          <w:sz w:val="20"/>
          <w:szCs w:val="20"/>
        </w:rPr>
      </w:pPr>
      <w:r w:rsidRPr="00B64906">
        <w:rPr>
          <w:rFonts w:ascii="ArialMT" w:eastAsia="Times New Roman" w:hAnsi="ArialMT" w:cs="Times New Roman"/>
          <w:color w:val="000000" w:themeColor="text1"/>
          <w:sz w:val="20"/>
          <w:szCs w:val="20"/>
        </w:rPr>
        <w:t>Successful online learning requires active and timely participation i</w:t>
      </w:r>
      <w:r>
        <w:rPr>
          <w:rFonts w:ascii="ArialMT" w:eastAsia="Times New Roman" w:hAnsi="ArialMT" w:cs="Times New Roman"/>
          <w:color w:val="000000" w:themeColor="text1"/>
          <w:sz w:val="20"/>
          <w:szCs w:val="20"/>
        </w:rPr>
        <w:t xml:space="preserve">i </w:t>
      </w:r>
      <w:r w:rsidRPr="00B64906">
        <w:rPr>
          <w:rFonts w:ascii="ArialMT" w:eastAsia="Times New Roman" w:hAnsi="ArialMT" w:cs="Times New Roman"/>
          <w:color w:val="000000" w:themeColor="text1"/>
          <w:sz w:val="20"/>
          <w:szCs w:val="20"/>
        </w:rPr>
        <w:t xml:space="preserve">the </w:t>
      </w:r>
      <w:r w:rsidRPr="00B64906">
        <w:rPr>
          <w:rFonts w:ascii="Arial" w:eastAsia="Times New Roman" w:hAnsi="Arial" w:cs="Arial"/>
          <w:b/>
          <w:bCs/>
          <w:color w:val="000000" w:themeColor="text1"/>
          <w:sz w:val="20"/>
          <w:szCs w:val="20"/>
        </w:rPr>
        <w:t>Discussion Area</w:t>
      </w:r>
      <w:r w:rsidRPr="00B64906">
        <w:rPr>
          <w:rFonts w:ascii="ArialMT" w:eastAsia="Times New Roman" w:hAnsi="ArialMT" w:cs="Times New Roman"/>
          <w:color w:val="000000" w:themeColor="text1"/>
          <w:sz w:val="20"/>
          <w:szCs w:val="20"/>
        </w:rPr>
        <w:t xml:space="preserve">. </w:t>
      </w:r>
      <w:r w:rsidRPr="00B64906">
        <w:rPr>
          <w:rFonts w:ascii="ArialMT" w:eastAsia="Times New Roman" w:hAnsi="ArialMT" w:cs="Times New Roman"/>
          <w:sz w:val="20"/>
          <w:szCs w:val="20"/>
        </w:rPr>
        <w:t xml:space="preserve">Students earn participation grades based upon the quality of their responses to assignments, including discussion questions. Participation point values in the learning experience are defined within each assignment as presented in the grading criteria or as directed by the facilitator. </w:t>
      </w:r>
    </w:p>
    <w:p w14:paraId="1B008617" w14:textId="77777777" w:rsidR="00E604B1" w:rsidRPr="00B64906" w:rsidRDefault="00E604B1" w:rsidP="00E604B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64906">
        <w:rPr>
          <w:rFonts w:ascii="Arial" w:eastAsia="Times New Roman" w:hAnsi="Arial" w:cs="Arial"/>
          <w:b/>
          <w:bCs/>
          <w:color w:val="7030A0"/>
          <w:sz w:val="20"/>
          <w:szCs w:val="20"/>
        </w:rPr>
        <w:t>Students are expected to read the online lectures and all posts in the Discussion Area</w:t>
      </w:r>
      <w:r w:rsidRPr="00B64906">
        <w:rPr>
          <w:rFonts w:ascii="ArialMT" w:eastAsia="Times New Roman" w:hAnsi="ArialMT" w:cs="Times New Roman"/>
          <w:sz w:val="20"/>
          <w:szCs w:val="20"/>
        </w:rPr>
        <w:t>. Posting assignments or e-mails to students and/or faculty</w:t>
      </w:r>
      <w:r>
        <w:rPr>
          <w:rFonts w:ascii="ArialMT" w:eastAsia="Times New Roman" w:hAnsi="ArialMT" w:cs="Times New Roman"/>
          <w:sz w:val="20"/>
          <w:szCs w:val="20"/>
        </w:rPr>
        <w:t xml:space="preserve"> </w:t>
      </w:r>
      <w:r w:rsidRPr="00B64906">
        <w:rPr>
          <w:rFonts w:ascii="ArialMT" w:eastAsia="Times New Roman" w:hAnsi="ArialMT" w:cs="Times New Roman"/>
          <w:sz w:val="20"/>
          <w:szCs w:val="20"/>
        </w:rPr>
        <w:t xml:space="preserve">outside of classroom threads does not count as participation. </w:t>
      </w:r>
    </w:p>
    <w:p w14:paraId="7E24EA9B" w14:textId="77777777" w:rsidR="00E604B1" w:rsidRPr="00B64906" w:rsidRDefault="00E604B1" w:rsidP="00E604B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B64906">
        <w:rPr>
          <w:rFonts w:ascii="TimesNewRomanPSMT" w:eastAsia="Times New Roman" w:hAnsi="TimesNewRomanPSMT" w:cs="Times New Roman"/>
          <w:color w:val="000000" w:themeColor="text1"/>
          <w:sz w:val="20"/>
          <w:szCs w:val="20"/>
        </w:rPr>
        <w:t xml:space="preserve">1. </w:t>
      </w:r>
      <w:r w:rsidRPr="00B64906">
        <w:rPr>
          <w:rFonts w:ascii="ArialMT" w:eastAsia="Times New Roman" w:hAnsi="ArialMT" w:cs="Times New Roman"/>
          <w:color w:val="000000" w:themeColor="text1"/>
          <w:sz w:val="20"/>
          <w:szCs w:val="20"/>
        </w:rPr>
        <w:t xml:space="preserve">Substantive participation consists of responses to classmates or the instructor in classroom discussions that relate to the course subject matter. Substantive responses should not be mere opinion, but must be based upon: </w:t>
      </w:r>
    </w:p>
    <w:p w14:paraId="69493CBC" w14:textId="77777777" w:rsidR="00E604B1" w:rsidRPr="00B64906" w:rsidRDefault="00E604B1" w:rsidP="00E604B1">
      <w:pPr>
        <w:numPr>
          <w:ilvl w:val="0"/>
          <w:numId w:val="1"/>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the course </w:t>
      </w:r>
      <w:proofErr w:type="gramStart"/>
      <w:r w:rsidRPr="00B64906">
        <w:rPr>
          <w:rFonts w:ascii="ArialMT" w:eastAsia="Times New Roman" w:hAnsi="ArialMT" w:cs="Times New Roman"/>
          <w:color w:val="000000" w:themeColor="text1"/>
          <w:sz w:val="20"/>
          <w:szCs w:val="20"/>
        </w:rPr>
        <w:t>content</w:t>
      </w:r>
      <w:proofErr w:type="gramEnd"/>
      <w:r w:rsidRPr="00B64906">
        <w:rPr>
          <w:rFonts w:ascii="ArialMT" w:eastAsia="Times New Roman" w:hAnsi="ArialMT" w:cs="Times New Roman"/>
          <w:color w:val="000000" w:themeColor="text1"/>
          <w:sz w:val="20"/>
          <w:szCs w:val="20"/>
        </w:rPr>
        <w:t xml:space="preserve"> </w:t>
      </w:r>
    </w:p>
    <w:p w14:paraId="39ABDF06" w14:textId="77777777" w:rsidR="00E604B1" w:rsidRPr="00B64906" w:rsidRDefault="00E604B1" w:rsidP="00E604B1">
      <w:pPr>
        <w:numPr>
          <w:ilvl w:val="0"/>
          <w:numId w:val="1"/>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assigned reading </w:t>
      </w:r>
    </w:p>
    <w:p w14:paraId="1197C425" w14:textId="77777777" w:rsidR="00E604B1" w:rsidRPr="00B64906" w:rsidRDefault="00E604B1" w:rsidP="00E604B1">
      <w:pPr>
        <w:numPr>
          <w:ilvl w:val="0"/>
          <w:numId w:val="1"/>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related outside resources </w:t>
      </w:r>
    </w:p>
    <w:p w14:paraId="064C868D" w14:textId="77777777" w:rsidR="00E604B1" w:rsidRPr="00B64906" w:rsidRDefault="00E604B1" w:rsidP="00E604B1">
      <w:pPr>
        <w:numPr>
          <w:ilvl w:val="0"/>
          <w:numId w:val="1"/>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personal experience relevant to the week's topics </w:t>
      </w:r>
    </w:p>
    <w:p w14:paraId="40D29129" w14:textId="77777777" w:rsidR="00E604B1" w:rsidRDefault="00E604B1" w:rsidP="00E604B1">
      <w:pPr>
        <w:spacing w:before="100" w:beforeAutospacing="1" w:after="100" w:afterAutospacing="1" w:line="240" w:lineRule="auto"/>
        <w:rPr>
          <w:rFonts w:ascii="Times New Roman" w:eastAsia="Times New Roman" w:hAnsi="Times New Roman" w:cs="Times New Roman"/>
          <w:sz w:val="24"/>
          <w:szCs w:val="24"/>
        </w:rPr>
      </w:pPr>
      <w:r w:rsidRPr="00B64906">
        <w:rPr>
          <w:rFonts w:ascii="Arial" w:eastAsia="Times New Roman" w:hAnsi="Arial" w:cs="Arial"/>
          <w:b/>
          <w:bCs/>
          <w:color w:val="7030A0"/>
          <w:sz w:val="20"/>
          <w:szCs w:val="20"/>
        </w:rPr>
        <w:t>Quality</w:t>
      </w:r>
      <w:r w:rsidRPr="00B64906">
        <w:rPr>
          <w:rFonts w:ascii="Arial" w:eastAsia="Times New Roman" w:hAnsi="Arial" w:cs="Arial"/>
          <w:b/>
          <w:bCs/>
          <w:color w:val="BF0000"/>
          <w:sz w:val="20"/>
          <w:szCs w:val="20"/>
        </w:rPr>
        <w:t xml:space="preserve"> </w:t>
      </w:r>
      <w:r w:rsidRPr="00B64906">
        <w:rPr>
          <w:rFonts w:ascii="ArialMT" w:eastAsia="Times New Roman" w:hAnsi="ArialMT" w:cs="Times New Roman"/>
          <w:sz w:val="20"/>
          <w:szCs w:val="20"/>
        </w:rPr>
        <w:t xml:space="preserve">participation in the discussion occurs by: </w:t>
      </w:r>
    </w:p>
    <w:p w14:paraId="6917A5BD" w14:textId="77777777" w:rsidR="00E604B1" w:rsidRPr="00B64906" w:rsidRDefault="00E604B1" w:rsidP="00E604B1">
      <w:pPr>
        <w:spacing w:before="100" w:beforeAutospacing="1" w:after="100" w:afterAutospacing="1" w:line="240" w:lineRule="auto"/>
        <w:rPr>
          <w:rFonts w:ascii="Times New Roman" w:eastAsia="Times New Roman" w:hAnsi="Times New Roman" w:cs="Times New Roman"/>
          <w:sz w:val="24"/>
          <w:szCs w:val="24"/>
        </w:rPr>
      </w:pPr>
      <w:r w:rsidRPr="00B64906">
        <w:rPr>
          <w:rFonts w:ascii="ArialMT" w:eastAsia="Times New Roman" w:hAnsi="ArialMT" w:cs="Times New Roman"/>
          <w:color w:val="000000" w:themeColor="text1"/>
          <w:sz w:val="20"/>
          <w:szCs w:val="20"/>
        </w:rPr>
        <w:t>Participation</w:t>
      </w:r>
      <w:r w:rsidRPr="00B64906">
        <w:rPr>
          <w:rFonts w:ascii="ArialMT" w:eastAsia="Times New Roman" w:hAnsi="ArialMT" w:cs="Times New Roman"/>
          <w:color w:val="BF0000"/>
          <w:sz w:val="20"/>
          <w:szCs w:val="20"/>
        </w:rPr>
        <w:t xml:space="preserve"> </w:t>
      </w:r>
      <w:r w:rsidRPr="00B64906">
        <w:rPr>
          <w:rFonts w:ascii="ArialMT" w:eastAsia="Times New Roman" w:hAnsi="ArialMT" w:cs="Times New Roman"/>
          <w:sz w:val="20"/>
          <w:szCs w:val="20"/>
        </w:rPr>
        <w:t xml:space="preserve">is an opportunity for your instructor to see what you have learned and for you to demonstrate your comprehension of the materials. Substantive discussion should include the use of: </w:t>
      </w:r>
    </w:p>
    <w:p w14:paraId="4B3E2750"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asking a question that generates more discussion </w:t>
      </w:r>
    </w:p>
    <w:p w14:paraId="2A77183B"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providing a statement of clarification </w:t>
      </w:r>
    </w:p>
    <w:p w14:paraId="35E9660D"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providing a point of view with rationale </w:t>
      </w:r>
    </w:p>
    <w:p w14:paraId="55FCD9A9"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challenging a point of discussion </w:t>
      </w:r>
    </w:p>
    <w:p w14:paraId="60371989"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making a relationship between one or more points of the discussion</w:t>
      </w:r>
    </w:p>
    <w:p w14:paraId="3CDB8140"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relevant vocabulary words </w:t>
      </w:r>
    </w:p>
    <w:p w14:paraId="4BFA3DFB"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concepts from the readings exhibiting a command of the subject matter </w:t>
      </w:r>
    </w:p>
    <w:p w14:paraId="5A2895D5" w14:textId="77777777" w:rsidR="00E604B1" w:rsidRPr="00B64906" w:rsidRDefault="00E604B1" w:rsidP="00E604B1">
      <w:pPr>
        <w:numPr>
          <w:ilvl w:val="0"/>
          <w:numId w:val="2"/>
        </w:numPr>
        <w:shd w:val="clear" w:color="auto" w:fill="FFFFFF"/>
        <w:spacing w:before="100" w:beforeAutospacing="1" w:after="100" w:afterAutospacing="1" w:line="240" w:lineRule="auto"/>
        <w:rPr>
          <w:rFonts w:ascii="Symbol" w:eastAsia="Times New Roman" w:hAnsi="Symbol" w:cs="Times New Roman"/>
          <w:color w:val="000000" w:themeColor="text1"/>
          <w:sz w:val="20"/>
          <w:szCs w:val="20"/>
        </w:rPr>
      </w:pPr>
      <w:r w:rsidRPr="00B64906">
        <w:rPr>
          <w:rFonts w:ascii="ArialMT" w:eastAsia="Times New Roman" w:hAnsi="ArialMT" w:cs="Times New Roman"/>
          <w:color w:val="000000" w:themeColor="text1"/>
          <w:sz w:val="20"/>
          <w:szCs w:val="20"/>
        </w:rPr>
        <w:t xml:space="preserve">appropriate documentation or citation </w:t>
      </w:r>
    </w:p>
    <w:p w14:paraId="6208E970" w14:textId="77777777" w:rsidR="00E604B1" w:rsidRPr="00B64906" w:rsidRDefault="00E604B1" w:rsidP="00E604B1">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rPr>
      </w:pPr>
      <w:r w:rsidRPr="00B64906">
        <w:rPr>
          <w:rFonts w:ascii="ArialMT" w:eastAsia="Times New Roman" w:hAnsi="ArialMT" w:cs="Times New Roman"/>
          <w:color w:val="7030A0"/>
          <w:sz w:val="28"/>
          <w:szCs w:val="28"/>
        </w:rPr>
        <w:t xml:space="preserve">A simple, "I agree," "Good work," or "I like it," does not count as substantive participation. </w:t>
      </w:r>
    </w:p>
    <w:p w14:paraId="220C3C83" w14:textId="77777777" w:rsidR="00D03C7D" w:rsidRDefault="00E604B1"/>
    <w:sectPr w:rsidR="00D03C7D" w:rsidSect="00D51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84716"/>
    <w:multiLevelType w:val="multilevel"/>
    <w:tmpl w:val="AB8E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3669F8"/>
    <w:multiLevelType w:val="multilevel"/>
    <w:tmpl w:val="14F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B1"/>
    <w:rsid w:val="00094936"/>
    <w:rsid w:val="008F3C7B"/>
    <w:rsid w:val="00D518AC"/>
    <w:rsid w:val="00E604B1"/>
    <w:rsid w:val="00ED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152A0"/>
  <w15:chartTrackingRefBased/>
  <w15:docId w15:val="{54B74AB3-2B7A-5F4A-A17C-109C8AA2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runtic</dc:creator>
  <cp:keywords/>
  <dc:description/>
  <cp:lastModifiedBy>sanja runtic</cp:lastModifiedBy>
  <cp:revision>1</cp:revision>
  <dcterms:created xsi:type="dcterms:W3CDTF">2019-09-28T19:57:00Z</dcterms:created>
  <dcterms:modified xsi:type="dcterms:W3CDTF">2019-09-28T19:58:00Z</dcterms:modified>
</cp:coreProperties>
</file>