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宋体"/>
          <w:b/>
          <w:lang w:val="en-US" w:eastAsia="zh-CN"/>
        </w:rPr>
      </w:pPr>
      <w:r>
        <w:rPr>
          <w:rFonts w:hint="eastAsia" w:eastAsia="宋体"/>
          <w:b/>
          <w:lang w:val="en-US" w:eastAsia="zh-CN"/>
        </w:rPr>
        <w:t>Step 1, watch the video in the following link:</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9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576" w:type="dxa"/>
          </w:tcPr>
          <w:p>
            <w:pPr>
              <w:rPr>
                <w:sz w:val="24"/>
                <w:szCs w:val="24"/>
              </w:rPr>
            </w:pPr>
            <w:r>
              <w:rPr>
                <w:b/>
              </w:rPr>
              <w:t xml:space="preserve">GALANTER’S VIEWS ON LAW AS APPLIED TO THE FILM “OUTLAWED IN PAKISTAN” </w:t>
            </w:r>
            <w:r>
              <w:rPr>
                <w:sz w:val="24"/>
                <w:szCs w:val="24"/>
              </w:rPr>
              <w:t xml:space="preserve">Please watch it </w:t>
            </w:r>
            <w:bookmarkStart w:id="0" w:name="_Hlk55220494"/>
            <w:r>
              <w:rPr>
                <w:sz w:val="24"/>
                <w:szCs w:val="24"/>
              </w:rPr>
              <w:t xml:space="preserve">on </w:t>
            </w:r>
            <w:r>
              <w:rPr>
                <w:color w:val="000000"/>
                <w:sz w:val="24"/>
                <w:szCs w:val="24"/>
              </w:rPr>
              <w:t>Omni </w:t>
            </w:r>
            <w:r>
              <w:fldChar w:fldCharType="begin"/>
            </w:r>
            <w:r>
              <w:instrText xml:space="preserve"> HYPERLINK "https://ocul-wlu.primo.exlibrisgroup.com/permalink/01OCUL_WLU/16h6n2s/alma9953313153705156" </w:instrText>
            </w:r>
            <w:r>
              <w:fldChar w:fldCharType="separate"/>
            </w:r>
            <w:r>
              <w:rPr>
                <w:rStyle w:val="5"/>
                <w:sz w:val="24"/>
                <w:szCs w:val="24"/>
              </w:rPr>
              <w:t>https://ocul-wlu.primo.exlibrisgroup.com/permalink/01OCUL_WLU/16h6n2s/alma9953313153705156</w:t>
            </w:r>
            <w:r>
              <w:rPr>
                <w:rStyle w:val="5"/>
                <w:sz w:val="24"/>
                <w:szCs w:val="24"/>
              </w:rPr>
              <w:fldChar w:fldCharType="end"/>
            </w:r>
            <w:bookmarkEnd w:id="0"/>
            <w:r>
              <w:rPr>
                <w:rStyle w:val="5"/>
                <w:sz w:val="24"/>
                <w:szCs w:val="24"/>
              </w:rPr>
              <w:t xml:space="preserve"> </w:t>
            </w:r>
            <w:r>
              <w:rPr>
                <w:sz w:val="24"/>
                <w:szCs w:val="24"/>
              </w:rPr>
              <w:t xml:space="preserve"> </w:t>
            </w:r>
          </w:p>
          <w:p>
            <w:pPr>
              <w:rPr>
                <w:color w:val="000000"/>
                <w:sz w:val="24"/>
                <w:szCs w:val="24"/>
              </w:rPr>
            </w:pPr>
            <w:r>
              <w:fldChar w:fldCharType="begin"/>
            </w:r>
            <w:r>
              <w:instrText xml:space="preserve"> HYPERLINK "https://fod-infobase-com.libproxy.wlu.ca/p_ViewVideo.aspx?xtid=58678&amp;tScript=0" </w:instrText>
            </w:r>
            <w:r>
              <w:fldChar w:fldCharType="separate"/>
            </w:r>
            <w:r>
              <w:rPr>
                <w:rStyle w:val="5"/>
                <w:sz w:val="24"/>
                <w:szCs w:val="24"/>
              </w:rPr>
              <w:t>https://fod-infobase-com.libproxy.wlu.ca/p_ViewVideo.aspx?xtid=58678&amp;tScript=0</w:t>
            </w:r>
            <w:r>
              <w:rPr>
                <w:rStyle w:val="5"/>
                <w:sz w:val="24"/>
                <w:szCs w:val="24"/>
              </w:rPr>
              <w:fldChar w:fldCharType="end"/>
            </w:r>
          </w:p>
          <w:p>
            <w:pPr>
              <w:rPr>
                <w:rFonts w:hint="default" w:eastAsia="宋体"/>
                <w:b w:val="0"/>
                <w:bCs w:val="0"/>
                <w:sz w:val="24"/>
                <w:szCs w:val="24"/>
                <w:lang w:val="en-US" w:eastAsia="zh-CN"/>
              </w:rPr>
            </w:pPr>
            <w:r>
              <w:rPr>
                <w:rFonts w:hint="eastAsia" w:eastAsia="宋体"/>
                <w:b w:val="0"/>
                <w:bCs w:val="0"/>
                <w:sz w:val="24"/>
                <w:szCs w:val="24"/>
                <w:lang w:val="en-US" w:eastAsia="zh-CN"/>
              </w:rPr>
              <w:t>Sign in info:</w:t>
            </w:r>
          </w:p>
          <w:p>
            <w:pPr>
              <w:rPr>
                <w:rFonts w:hint="default" w:eastAsia="宋体"/>
                <w:b w:val="0"/>
                <w:bCs w:val="0"/>
                <w:sz w:val="24"/>
                <w:szCs w:val="24"/>
                <w:lang w:val="en-US" w:eastAsia="zh-CN"/>
              </w:rPr>
            </w:pPr>
            <w:r>
              <w:rPr>
                <w:rFonts w:hint="eastAsia" w:eastAsia="宋体"/>
                <w:b w:val="0"/>
                <w:bCs w:val="0"/>
                <w:sz w:val="24"/>
                <w:szCs w:val="24"/>
                <w:lang w:val="en-US" w:eastAsia="zh-CN"/>
              </w:rPr>
              <w:t xml:space="preserve">Account: </w:t>
            </w:r>
            <w:r>
              <w:rPr>
                <w:rFonts w:hint="default" w:eastAsia="宋体"/>
                <w:b w:val="0"/>
                <w:bCs w:val="0"/>
                <w:sz w:val="24"/>
                <w:szCs w:val="24"/>
                <w:lang w:val="en-US" w:eastAsia="zh-CN"/>
              </w:rPr>
              <w:t>meng7050</w:t>
            </w:r>
          </w:p>
          <w:p>
            <w:pPr>
              <w:rPr>
                <w:rFonts w:hint="default" w:eastAsia="宋体"/>
                <w:b/>
                <w:vertAlign w:val="baseline"/>
                <w:lang w:val="en-US" w:eastAsia="zh-CN"/>
              </w:rPr>
            </w:pPr>
            <w:r>
              <w:rPr>
                <w:rFonts w:hint="eastAsia" w:eastAsia="宋体"/>
                <w:b w:val="0"/>
                <w:bCs w:val="0"/>
                <w:sz w:val="24"/>
                <w:szCs w:val="24"/>
                <w:lang w:val="en-US" w:eastAsia="zh-CN"/>
              </w:rPr>
              <w:t xml:space="preserve">Password: </w:t>
            </w:r>
            <w:r>
              <w:rPr>
                <w:rFonts w:hint="default" w:eastAsia="宋体"/>
                <w:b w:val="0"/>
                <w:bCs w:val="0"/>
                <w:sz w:val="24"/>
                <w:szCs w:val="24"/>
                <w:lang w:val="en-US" w:eastAsia="zh-CN"/>
              </w:rPr>
              <w:t>Myx20000310</w:t>
            </w:r>
          </w:p>
        </w:tc>
      </w:tr>
    </w:tbl>
    <w:p>
      <w:pPr>
        <w:rPr>
          <w:rFonts w:hint="default" w:eastAsia="宋体"/>
          <w:b/>
          <w:lang w:val="en-US" w:eastAsia="zh-CN"/>
        </w:rPr>
      </w:pPr>
    </w:p>
    <w:p>
      <w:pPr>
        <w:rPr>
          <w:rFonts w:hint="eastAsia" w:eastAsia="宋体"/>
          <w:b/>
          <w:bCs/>
          <w:sz w:val="24"/>
          <w:szCs w:val="24"/>
          <w:lang w:val="en-US" w:eastAsia="zh-CN"/>
        </w:rPr>
      </w:pPr>
      <w:r>
        <w:rPr>
          <w:rFonts w:hint="eastAsia" w:eastAsia="宋体"/>
          <w:b/>
          <w:bCs/>
          <w:sz w:val="24"/>
          <w:szCs w:val="24"/>
          <w:lang w:val="en-US" w:eastAsia="zh-CN"/>
        </w:rPr>
        <w:t>Step 2, read the reading below.</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9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576" w:type="dxa"/>
          </w:tcPr>
          <w:p>
            <w:pPr>
              <w:rPr>
                <w:sz w:val="24"/>
                <w:szCs w:val="24"/>
              </w:rPr>
            </w:pPr>
            <w:r>
              <w:rPr>
                <w:b/>
                <w:bCs/>
                <w:sz w:val="24"/>
                <w:szCs w:val="24"/>
              </w:rPr>
              <w:t>Reading “</w:t>
            </w:r>
            <w:r>
              <w:rPr>
                <w:sz w:val="24"/>
                <w:szCs w:val="24"/>
              </w:rPr>
              <w:t xml:space="preserve">…Higher Law &amp; Local Practice” (Reader: pp. 47-50), excerpt from </w:t>
            </w:r>
            <w:r>
              <w:rPr>
                <w:i/>
                <w:sz w:val="24"/>
                <w:szCs w:val="24"/>
              </w:rPr>
              <w:t>Law and Society in Modern India</w:t>
            </w:r>
            <w:r>
              <w:rPr>
                <w:sz w:val="24"/>
                <w:szCs w:val="24"/>
              </w:rPr>
              <w:t xml:space="preserve"> (1989).</w:t>
            </w:r>
          </w:p>
          <w:p>
            <w:pPr>
              <w:rPr>
                <w:rFonts w:hint="default" w:eastAsia="宋体"/>
                <w:b/>
                <w:bCs/>
                <w:sz w:val="24"/>
                <w:szCs w:val="24"/>
                <w:vertAlign w:val="baseline"/>
                <w:lang w:val="en-US" w:eastAsia="zh-CN"/>
              </w:rPr>
            </w:pPr>
            <w:r>
              <w:rPr>
                <w:rFonts w:hint="eastAsia" w:eastAsia="宋体"/>
                <w:b/>
                <w:bCs/>
                <w:sz w:val="24"/>
                <w:szCs w:val="24"/>
                <w:vertAlign w:val="baseline"/>
                <w:lang w:val="en-US" w:eastAsia="zh-CN"/>
              </w:rPr>
              <w:t>The reading above is uploaded as reading.doc</w:t>
            </w:r>
          </w:p>
        </w:tc>
      </w:tr>
    </w:tbl>
    <w:p>
      <w:pPr>
        <w:rPr>
          <w:rFonts w:hint="default" w:eastAsia="宋体"/>
          <w:b/>
          <w:bCs/>
          <w:sz w:val="24"/>
          <w:szCs w:val="24"/>
          <w:lang w:val="en-US" w:eastAsia="zh-CN"/>
        </w:rPr>
      </w:pPr>
    </w:p>
    <w:p>
      <w:pPr>
        <w:rPr>
          <w:rFonts w:hint="default" w:eastAsia="宋体"/>
          <w:b/>
          <w:bCs/>
          <w:sz w:val="24"/>
          <w:szCs w:val="24"/>
          <w:lang w:val="en-US" w:eastAsia="zh-CN"/>
        </w:rPr>
      </w:pPr>
      <w:r>
        <w:rPr>
          <w:rFonts w:hint="eastAsia" w:eastAsia="宋体"/>
          <w:b/>
          <w:bCs/>
          <w:sz w:val="24"/>
          <w:szCs w:val="24"/>
          <w:lang w:val="en-US" w:eastAsia="zh-CN"/>
        </w:rPr>
        <w:t>Next, following the instructions below, complete a 2-page table.</w:t>
      </w:r>
    </w:p>
    <w:p>
      <w:pPr>
        <w:rPr>
          <w:sz w:val="24"/>
          <w:szCs w:val="24"/>
        </w:rPr>
      </w:pPr>
      <w:r>
        <w:rPr>
          <w:sz w:val="24"/>
          <w:szCs w:val="24"/>
        </w:rPr>
        <w:t xml:space="preserve">Galanter’s view of law is not narrow or technical. To the contrary, it is one that considers the social and cultural milieu in which legal activity takes place…To find the law in India, we must look beyond the records of the legislatures and the higher courts to the working of Lawyers and the Police, the proceedings of the lower courts, to the operation of informal tribunals, and to popular notions of legality” (p.4). </w:t>
      </w:r>
    </w:p>
    <w:p>
      <w:pPr>
        <w:rPr>
          <w:sz w:val="24"/>
          <w:szCs w:val="24"/>
        </w:rPr>
      </w:pPr>
      <w:r>
        <w:rPr>
          <w:sz w:val="24"/>
          <w:szCs w:val="24"/>
        </w:rPr>
        <w:t>But finding “the law” is not the primary goal of Galanter’s work. While he presents formal legal materials in the social and political contexts in which they are embedded, the aim of the analysis is more to throw light on those contexts than it is to explicate or explain the law.</w:t>
      </w:r>
    </w:p>
    <w:p>
      <w:pPr>
        <w:rPr>
          <w:sz w:val="24"/>
          <w:szCs w:val="24"/>
        </w:rPr>
      </w:pPr>
      <w:r>
        <w:rPr>
          <w:sz w:val="24"/>
          <w:szCs w:val="24"/>
        </w:rPr>
        <w:t>IN SHORT UNDERSTANDING LAW IS NOT ENOUGH. WE NEED TO LOOK AT ITS OPERATION ON THE GROUND INCLUDING SOCIAL AND CULTURAL CONTEXTS.</w:t>
      </w:r>
    </w:p>
    <w:p>
      <w:pPr>
        <w:rPr>
          <w:b/>
          <w:sz w:val="24"/>
          <w:szCs w:val="24"/>
          <w:highlight w:val="yellow"/>
        </w:rPr>
      </w:pPr>
      <w:r>
        <w:rPr>
          <w:b/>
          <w:sz w:val="24"/>
          <w:szCs w:val="24"/>
          <w:highlight w:val="yellow"/>
        </w:rPr>
        <w:t xml:space="preserve">Use the documentary on a legal case of gender-based violence in Pakistan and fill the columns provided under each category. You can expand on the categories you think are relevant. The table is just a model. Your answers must be in point form. </w:t>
      </w:r>
    </w:p>
    <w:p>
      <w:pPr>
        <w:rPr>
          <w:rFonts w:hint="default" w:eastAsia="宋体"/>
          <w:lang w:val="en-US" w:eastAsia="zh-CN"/>
        </w:rPr>
      </w:pPr>
      <w:r>
        <w:rPr>
          <w:rFonts w:hint="eastAsia" w:eastAsia="宋体"/>
          <w:lang w:val="en-US" w:eastAsia="zh-CN"/>
        </w:rPr>
        <w:t>See the table on next page---</w:t>
      </w:r>
      <w:bookmarkStart w:id="1" w:name="_GoBack"/>
      <w:bookmarkEnd w:id="1"/>
    </w:p>
    <w:p/>
    <w:p/>
    <w:p>
      <w:pPr>
        <w:rPr>
          <w:b/>
        </w:rPr>
      </w:pPr>
      <w:r>
        <w:rPr>
          <w:b/>
        </w:rPr>
        <w:t>Categories</w:t>
      </w:r>
      <w:r>
        <w:tab/>
      </w:r>
      <w:r>
        <w:tab/>
      </w:r>
      <w:r>
        <w:rPr>
          <w:b/>
        </w:rPr>
        <w:t>Responses (workings of these components in relation to the case)</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8"/>
        <w:gridCol w:w="7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pPr>
              <w:spacing w:after="0" w:line="240" w:lineRule="auto"/>
            </w:pPr>
            <w:r>
              <w:t>Law (on rape) &amp; other relevant laws</w:t>
            </w:r>
          </w:p>
          <w:p>
            <w:pPr>
              <w:spacing w:after="0" w:line="240" w:lineRule="auto"/>
            </w:pPr>
            <w:r>
              <w:t>(legal pluralism)</w:t>
            </w:r>
          </w:p>
          <w:p>
            <w:pPr>
              <w:spacing w:after="0" w:line="240" w:lineRule="auto"/>
            </w:pPr>
          </w:p>
          <w:p>
            <w:pPr>
              <w:spacing w:after="0" w:line="240" w:lineRule="auto"/>
            </w:pPr>
          </w:p>
          <w:p>
            <w:pPr>
              <w:spacing w:after="0" w:line="240" w:lineRule="auto"/>
            </w:pPr>
          </w:p>
        </w:tc>
        <w:tc>
          <w:tcPr>
            <w:tcW w:w="7308" w:type="dxa"/>
          </w:tcPr>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pPr>
              <w:spacing w:after="0" w:line="240" w:lineRule="auto"/>
            </w:pPr>
          </w:p>
          <w:p>
            <w:pPr>
              <w:spacing w:after="0" w:line="240" w:lineRule="auto"/>
            </w:pPr>
            <w:r>
              <w:t xml:space="preserve">Judges’ biases, values </w:t>
            </w:r>
          </w:p>
          <w:p>
            <w:pPr>
              <w:spacing w:after="0" w:line="240" w:lineRule="auto"/>
            </w:pPr>
            <w:r>
              <w:t>(</w:t>
            </w:r>
            <w:r>
              <w:rPr>
                <w:b/>
                <w:bCs/>
              </w:rPr>
              <w:t>halo effect</w:t>
            </w:r>
            <w:r>
              <w:t>); how impressions can affect our judgement on an unrelated issue (e.g., a person is found guilty of a drug charge because the person is also a homeless person).</w:t>
            </w:r>
          </w:p>
          <w:p>
            <w:pPr>
              <w:spacing w:after="0" w:line="240" w:lineRule="auto"/>
            </w:pPr>
          </w:p>
          <w:p>
            <w:pPr>
              <w:spacing w:after="0" w:line="240" w:lineRule="auto"/>
            </w:pPr>
          </w:p>
          <w:p>
            <w:pPr>
              <w:spacing w:after="0" w:line="240" w:lineRule="auto"/>
            </w:pPr>
          </w:p>
          <w:p>
            <w:pPr>
              <w:spacing w:after="0" w:line="240" w:lineRule="auto"/>
            </w:pPr>
          </w:p>
        </w:tc>
        <w:tc>
          <w:tcPr>
            <w:tcW w:w="7308" w:type="dxa"/>
          </w:tcPr>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pPr>
              <w:spacing w:after="0" w:line="240" w:lineRule="auto"/>
            </w:pPr>
          </w:p>
          <w:p>
            <w:pPr>
              <w:spacing w:after="0" w:line="240" w:lineRule="auto"/>
            </w:pPr>
            <w:r>
              <w:t>High Courts involvement if any</w:t>
            </w:r>
          </w:p>
          <w:p>
            <w:pPr>
              <w:spacing w:after="0" w:line="240" w:lineRule="auto"/>
            </w:pPr>
          </w:p>
          <w:p>
            <w:pPr>
              <w:spacing w:after="0" w:line="240" w:lineRule="auto"/>
            </w:pPr>
          </w:p>
          <w:p>
            <w:pPr>
              <w:spacing w:after="0" w:line="240" w:lineRule="auto"/>
            </w:pPr>
          </w:p>
          <w:p>
            <w:pPr>
              <w:spacing w:after="0" w:line="240" w:lineRule="auto"/>
            </w:pPr>
          </w:p>
        </w:tc>
        <w:tc>
          <w:tcPr>
            <w:tcW w:w="7308" w:type="dxa"/>
          </w:tcPr>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pPr>
              <w:spacing w:after="0" w:line="240" w:lineRule="auto"/>
            </w:pPr>
            <w:r>
              <w:t>Low Courts</w:t>
            </w:r>
          </w:p>
          <w:p>
            <w:pPr>
              <w:spacing w:after="0" w:line="240" w:lineRule="auto"/>
            </w:pPr>
          </w:p>
          <w:p>
            <w:pPr>
              <w:spacing w:after="0" w:line="240" w:lineRule="auto"/>
            </w:pPr>
          </w:p>
          <w:p>
            <w:pPr>
              <w:spacing w:after="0" w:line="240" w:lineRule="auto"/>
            </w:pPr>
          </w:p>
        </w:tc>
        <w:tc>
          <w:tcPr>
            <w:tcW w:w="7308" w:type="dxa"/>
          </w:tcPr>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pPr>
              <w:spacing w:after="0" w:line="240" w:lineRule="auto"/>
            </w:pPr>
            <w:r>
              <w:t>Police handling of case</w:t>
            </w:r>
          </w:p>
          <w:p>
            <w:pPr>
              <w:spacing w:after="0" w:line="240" w:lineRule="auto"/>
            </w:pPr>
          </w:p>
          <w:p>
            <w:pPr>
              <w:spacing w:after="0" w:line="240" w:lineRule="auto"/>
            </w:pPr>
          </w:p>
          <w:p>
            <w:pPr>
              <w:spacing w:after="0" w:line="240" w:lineRule="auto"/>
            </w:pPr>
          </w:p>
        </w:tc>
        <w:tc>
          <w:tcPr>
            <w:tcW w:w="7308" w:type="dxa"/>
          </w:tcPr>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pPr>
              <w:spacing w:after="0" w:line="240" w:lineRule="auto"/>
            </w:pPr>
            <w:r>
              <w:t>Informal Tribunals if any</w:t>
            </w:r>
          </w:p>
          <w:p>
            <w:pPr>
              <w:spacing w:after="0" w:line="240" w:lineRule="auto"/>
            </w:pPr>
          </w:p>
          <w:p>
            <w:pPr>
              <w:spacing w:after="0" w:line="240" w:lineRule="auto"/>
            </w:pPr>
          </w:p>
        </w:tc>
        <w:tc>
          <w:tcPr>
            <w:tcW w:w="7308" w:type="dxa"/>
          </w:tcPr>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pPr>
              <w:spacing w:after="0" w:line="240" w:lineRule="auto"/>
            </w:pPr>
            <w:r>
              <w:t>Popular Justice</w:t>
            </w:r>
          </w:p>
          <w:p>
            <w:pPr>
              <w:spacing w:after="0" w:line="240" w:lineRule="auto"/>
            </w:pPr>
          </w:p>
          <w:p>
            <w:pPr>
              <w:spacing w:after="0" w:line="240" w:lineRule="auto"/>
            </w:pPr>
          </w:p>
          <w:p>
            <w:pPr>
              <w:spacing w:after="0" w:line="240" w:lineRule="auto"/>
            </w:pPr>
          </w:p>
        </w:tc>
        <w:tc>
          <w:tcPr>
            <w:tcW w:w="7308" w:type="dxa"/>
          </w:tcPr>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pPr>
              <w:spacing w:after="0" w:line="240" w:lineRule="auto"/>
            </w:pPr>
            <w:r>
              <w:t>Cultural Beliefs</w:t>
            </w:r>
          </w:p>
          <w:p>
            <w:pPr>
              <w:spacing w:after="0" w:line="240" w:lineRule="auto"/>
            </w:pPr>
          </w:p>
          <w:p>
            <w:pPr>
              <w:spacing w:after="0" w:line="240" w:lineRule="auto"/>
            </w:pPr>
            <w:r>
              <w:t xml:space="preserve"> </w:t>
            </w:r>
          </w:p>
        </w:tc>
        <w:tc>
          <w:tcPr>
            <w:tcW w:w="7308" w:type="dxa"/>
          </w:tcPr>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pPr>
              <w:spacing w:after="0" w:line="240" w:lineRule="auto"/>
            </w:pPr>
            <w:r>
              <w:t>Gender Implications</w:t>
            </w:r>
          </w:p>
          <w:p>
            <w:pPr>
              <w:spacing w:after="0" w:line="240" w:lineRule="auto"/>
            </w:pPr>
          </w:p>
          <w:p>
            <w:pPr>
              <w:spacing w:after="0" w:line="240" w:lineRule="auto"/>
            </w:pPr>
          </w:p>
        </w:tc>
        <w:tc>
          <w:tcPr>
            <w:tcW w:w="7308" w:type="dxa"/>
          </w:tcPr>
          <w:p>
            <w:pPr>
              <w:spacing w:after="0" w:line="240" w:lineRule="auto"/>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pPr>
              <w:spacing w:after="0" w:line="240" w:lineRule="auto"/>
            </w:pPr>
            <w:r>
              <w:t>Challenges</w:t>
            </w:r>
          </w:p>
          <w:p>
            <w:pPr>
              <w:spacing w:after="0" w:line="240" w:lineRule="auto"/>
            </w:pPr>
            <w:r>
              <w:t>You think exist for getting justice</w:t>
            </w:r>
          </w:p>
          <w:p>
            <w:pPr>
              <w:spacing w:after="0" w:line="240" w:lineRule="auto"/>
            </w:pPr>
          </w:p>
        </w:tc>
        <w:tc>
          <w:tcPr>
            <w:tcW w:w="7308" w:type="dxa"/>
          </w:tcPr>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pPr>
              <w:spacing w:after="0" w:line="240" w:lineRule="auto"/>
            </w:pPr>
            <w:r>
              <w:t xml:space="preserve">Your Conclusions </w:t>
            </w:r>
          </w:p>
          <w:p>
            <w:pPr>
              <w:spacing w:after="0" w:line="240" w:lineRule="auto"/>
            </w:pPr>
          </w:p>
          <w:p>
            <w:pPr>
              <w:spacing w:after="0" w:line="240" w:lineRule="auto"/>
            </w:pPr>
          </w:p>
        </w:tc>
        <w:tc>
          <w:tcPr>
            <w:tcW w:w="7308" w:type="dxa"/>
          </w:tcPr>
          <w:p>
            <w:pPr>
              <w:spacing w:after="0" w:line="240" w:lineRule="auto"/>
            </w:pPr>
          </w:p>
        </w:tc>
      </w:tr>
    </w:tbl>
    <w:p/>
    <w:sectPr>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cumentProtection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A16"/>
    <w:rsid w:val="000C724C"/>
    <w:rsid w:val="00157E4D"/>
    <w:rsid w:val="00297308"/>
    <w:rsid w:val="002F374B"/>
    <w:rsid w:val="00430A21"/>
    <w:rsid w:val="00500048"/>
    <w:rsid w:val="00576C5E"/>
    <w:rsid w:val="006C2B9D"/>
    <w:rsid w:val="007305CA"/>
    <w:rsid w:val="00A05C2C"/>
    <w:rsid w:val="00A36A16"/>
    <w:rsid w:val="00B26827"/>
    <w:rsid w:val="00B950A4"/>
    <w:rsid w:val="00C548F6"/>
    <w:rsid w:val="00CB3F7A"/>
    <w:rsid w:val="00D7704D"/>
    <w:rsid w:val="00D874CF"/>
    <w:rsid w:val="34DB1A10"/>
    <w:rsid w:val="54FC29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imes New Roman" w:hAnsi="Times New Roman" w:eastAsia="Times New Roman" w:cs="Times New Roman"/>
      <w:sz w:val="22"/>
      <w:szCs w:val="22"/>
      <w:lang w:val="en-CA" w:eastAsia="en-CA" w:bidi="ar-SA"/>
    </w:rPr>
  </w:style>
  <w:style w:type="character" w:default="1" w:styleId="4">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table" w:styleId="3">
    <w:name w:val="Table Grid"/>
    <w:basedOn w:val="2"/>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
    <w:name w:val="Hyperlink"/>
    <w:basedOn w:val="4"/>
    <w:unhideWhenUsed/>
    <w:qFormat/>
    <w:uiPriority w:val="99"/>
    <w:rPr>
      <w:color w:val="0000FF" w:themeColor="hyperlink"/>
      <w:u w:val="single"/>
      <w14:textFill>
        <w14:solidFill>
          <w14:schemeClr w14:val="hlink"/>
        </w14:solidFill>
      </w14:textFill>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Toshiba</Company>
  <Pages>3</Pages>
  <Words>358</Words>
  <Characters>2046</Characters>
  <Lines>17</Lines>
  <Paragraphs>4</Paragraphs>
  <TotalTime>2</TotalTime>
  <ScaleCrop>false</ScaleCrop>
  <LinksUpToDate>false</LinksUpToDate>
  <CharactersWithSpaces>2400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2020-12-03T22:20:00Z</dcterms:created>
  <dc:creator>Amali Philips</dc:creator>
  <cp:lastModifiedBy>Welkin</cp:lastModifiedBy>
  <dcterms:modified xsi:type="dcterms:W3CDTF">2021-01-28T00:22:16Z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