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C8CB" w14:textId="7E5B1BC3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Prompt</w:t>
      </w:r>
    </w:p>
    <w:p w14:paraId="7F19C605" w14:textId="0EB95064" w:rsidR="00E14AFA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E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xplain the phenomenon known as the “global care-chain” from a gender-sensitive perspective. Second, discuss how this phenomenon impacts women’s equality in developed and developing countries. Use a concrete case to illustrate your answer.</w:t>
      </w:r>
    </w:p>
    <w:p w14:paraId="61ABBAA5" w14:textId="765F38AE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Instructions</w:t>
      </w:r>
    </w:p>
    <w:p w14:paraId="4AA97FA4" w14:textId="3E0E639F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Use at least 2 academic sources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(in addition to Henderson and </w:t>
      </w:r>
      <w:proofErr w:type="spellStart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Jeydel</w:t>
      </w:r>
      <w:proofErr w:type="spellEnd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).</w:t>
      </w:r>
    </w:p>
    <w:p w14:paraId="4910A0B4" w14:textId="3C79C2A8" w:rsidR="00707C6F" w:rsidRDefault="00707C6F">
      <w:r>
        <w:t xml:space="preserve">• Sarah L. Henderson &amp; Alana S. </w:t>
      </w:r>
      <w:proofErr w:type="spellStart"/>
      <w:r>
        <w:t>Jeydel</w:t>
      </w:r>
      <w:proofErr w:type="spellEnd"/>
      <w:r>
        <w:t xml:space="preserve"> (2014). Women and Politics in a Global World 3rd ed. New York: Oxford University Press. ISBN: 978-0-19-989966-1</w:t>
      </w:r>
    </w:p>
    <w:p w14:paraId="262D7EA0" w14:textId="77777777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</w:p>
    <w:p w14:paraId="4BE60841" w14:textId="1FF4D5C3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•Citation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style: the author-date method </w:t>
      </w:r>
    </w:p>
    <w:p w14:paraId="4D1A352D" w14:textId="26150FB6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▪At the end of the sentence or paragraph in which borrowed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ideas occur, simply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</w:t>
      </w:r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put the author, the date of the publication, and page in parentheses inside the period ending the sentence.  For example: (Peters 2010, p.23</w:t>
      </w:r>
      <w:proofErr w:type="gramStart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).•</w:t>
      </w:r>
      <w:proofErr w:type="gramEnd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Work-</w:t>
      </w:r>
      <w:proofErr w:type="spellStart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>citedat</w:t>
      </w:r>
      <w:proofErr w:type="spellEnd"/>
      <w: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  <w:t xml:space="preserve"> the end of the paper</w:t>
      </w:r>
    </w:p>
    <w:p w14:paraId="11087C8E" w14:textId="0D9F1959" w:rsidR="00707C6F" w:rsidRDefault="00707C6F">
      <w:pPr>
        <w:rPr>
          <w:rStyle w:val="textlayer--absolute"/>
          <w:rFonts w:ascii="Arial" w:hAnsi="Arial" w:cs="Arial"/>
          <w:sz w:val="27"/>
          <w:szCs w:val="27"/>
          <w:shd w:val="clear" w:color="auto" w:fill="F2F2F2"/>
        </w:rPr>
      </w:pPr>
    </w:p>
    <w:p w14:paraId="2B9C22EE" w14:textId="77777777" w:rsidR="00707C6F" w:rsidRDefault="00707C6F"/>
    <w:sectPr w:rsidR="0070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6F"/>
    <w:rsid w:val="00707C6F"/>
    <w:rsid w:val="00E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EBC7"/>
  <w15:chartTrackingRefBased/>
  <w15:docId w15:val="{CF897B6F-DBAB-4F65-B178-3B3591D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70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Hernandez</dc:creator>
  <cp:keywords/>
  <dc:description/>
  <cp:lastModifiedBy>Isaias Hernandez</cp:lastModifiedBy>
  <cp:revision>1</cp:revision>
  <dcterms:created xsi:type="dcterms:W3CDTF">2020-12-09T21:55:00Z</dcterms:created>
  <dcterms:modified xsi:type="dcterms:W3CDTF">2020-12-09T21:58:00Z</dcterms:modified>
</cp:coreProperties>
</file>